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94524">
      <w:pPr>
        <w:pStyle w:val="16"/>
        <w:jc w:val="center"/>
        <w:rPr>
          <w:sz w:val="56"/>
          <w:szCs w:val="56"/>
        </w:rPr>
      </w:pPr>
    </w:p>
    <w:p w14:paraId="1736EB45">
      <w:pPr>
        <w:pStyle w:val="16"/>
        <w:jc w:val="center"/>
        <w:rPr>
          <w:sz w:val="56"/>
          <w:szCs w:val="56"/>
        </w:rPr>
      </w:pPr>
    </w:p>
    <w:p w14:paraId="2C386405">
      <w:pPr>
        <w:pStyle w:val="16"/>
        <w:jc w:val="center"/>
        <w:rPr>
          <w:sz w:val="84"/>
          <w:szCs w:val="84"/>
        </w:rPr>
      </w:pPr>
    </w:p>
    <w:p w14:paraId="521B8A74">
      <w:pPr>
        <w:pStyle w:val="16"/>
        <w:jc w:val="center"/>
        <w:rPr>
          <w:sz w:val="84"/>
          <w:szCs w:val="84"/>
        </w:rPr>
      </w:pPr>
    </w:p>
    <w:p w14:paraId="06BF8D67">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1956B5C1">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岳阳市供销合作联社</w:t>
      </w:r>
      <w:r>
        <w:rPr>
          <w:rFonts w:hint="eastAsia" w:ascii="方正小标宋_GBK" w:hAnsi="方正小标宋_GBK" w:eastAsia="方正小标宋_GBK" w:cs="方正小标宋_GBK"/>
          <w:sz w:val="84"/>
          <w:szCs w:val="84"/>
        </w:rPr>
        <w:t>部门决算</w:t>
      </w:r>
    </w:p>
    <w:p w14:paraId="144A7814">
      <w:pPr>
        <w:pStyle w:val="16"/>
        <w:jc w:val="center"/>
        <w:rPr>
          <w:rFonts w:hint="eastAsia" w:ascii="方正小标宋_GBK" w:hAnsi="方正小标宋_GBK" w:eastAsia="方正小标宋_GBK" w:cs="方正小标宋_GBK"/>
          <w:sz w:val="56"/>
          <w:szCs w:val="56"/>
        </w:rPr>
      </w:pPr>
    </w:p>
    <w:p w14:paraId="03D31409">
      <w:pPr>
        <w:pStyle w:val="16"/>
        <w:jc w:val="center"/>
        <w:rPr>
          <w:sz w:val="56"/>
          <w:szCs w:val="56"/>
        </w:rPr>
      </w:pPr>
    </w:p>
    <w:p w14:paraId="0F2F3ED7">
      <w:pPr>
        <w:pStyle w:val="16"/>
        <w:jc w:val="center"/>
        <w:rPr>
          <w:sz w:val="56"/>
          <w:szCs w:val="56"/>
        </w:rPr>
      </w:pPr>
    </w:p>
    <w:p w14:paraId="70F2EE6A">
      <w:pPr>
        <w:pStyle w:val="16"/>
        <w:jc w:val="center"/>
        <w:rPr>
          <w:sz w:val="56"/>
          <w:szCs w:val="56"/>
        </w:rPr>
      </w:pPr>
    </w:p>
    <w:p w14:paraId="4643A75F">
      <w:pPr>
        <w:pStyle w:val="16"/>
        <w:jc w:val="center"/>
        <w:rPr>
          <w:sz w:val="32"/>
          <w:szCs w:val="32"/>
        </w:rPr>
      </w:pPr>
    </w:p>
    <w:p w14:paraId="3B5B848C">
      <w:pPr>
        <w:pStyle w:val="16"/>
        <w:jc w:val="center"/>
        <w:rPr>
          <w:sz w:val="32"/>
          <w:szCs w:val="32"/>
        </w:rPr>
      </w:pPr>
    </w:p>
    <w:p w14:paraId="0A871A53">
      <w:pPr>
        <w:pStyle w:val="16"/>
        <w:jc w:val="center"/>
        <w:rPr>
          <w:sz w:val="32"/>
          <w:szCs w:val="32"/>
        </w:rPr>
      </w:pPr>
    </w:p>
    <w:p w14:paraId="7AEEC7F6">
      <w:pPr>
        <w:pStyle w:val="16"/>
        <w:jc w:val="center"/>
        <w:rPr>
          <w:sz w:val="32"/>
          <w:szCs w:val="32"/>
        </w:rPr>
      </w:pPr>
    </w:p>
    <w:p w14:paraId="6E9FC527">
      <w:pPr>
        <w:pStyle w:val="16"/>
        <w:spacing w:line="540" w:lineRule="exact"/>
        <w:jc w:val="both"/>
        <w:rPr>
          <w:sz w:val="56"/>
          <w:szCs w:val="56"/>
        </w:rPr>
      </w:pPr>
    </w:p>
    <w:p w14:paraId="0A745967">
      <w:pPr>
        <w:pStyle w:val="16"/>
        <w:spacing w:line="500" w:lineRule="exact"/>
        <w:jc w:val="both"/>
        <w:rPr>
          <w:b/>
          <w:sz w:val="36"/>
          <w:szCs w:val="28"/>
        </w:rPr>
      </w:pPr>
    </w:p>
    <w:p w14:paraId="1ADB8D28">
      <w:pPr>
        <w:pStyle w:val="16"/>
        <w:spacing w:line="500" w:lineRule="exact"/>
        <w:jc w:val="center"/>
        <w:rPr>
          <w:b/>
          <w:sz w:val="36"/>
          <w:szCs w:val="28"/>
        </w:rPr>
      </w:pPr>
      <w:r>
        <w:rPr>
          <w:rFonts w:hint="eastAsia"/>
          <w:b/>
          <w:sz w:val="36"/>
          <w:szCs w:val="28"/>
        </w:rPr>
        <w:t>目录</w:t>
      </w:r>
    </w:p>
    <w:p w14:paraId="61CFE63D">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岳阳市供销合作联社</w:t>
      </w:r>
      <w:r>
        <w:rPr>
          <w:rFonts w:hint="eastAsia" w:ascii="黑体" w:hAnsi="黑体" w:eastAsia="黑体" w:cs="黑体"/>
          <w:b w:val="0"/>
          <w:bCs/>
          <w:sz w:val="28"/>
          <w:szCs w:val="28"/>
        </w:rPr>
        <w:t>概况</w:t>
      </w:r>
    </w:p>
    <w:p w14:paraId="4051052F">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3868315">
      <w:pPr>
        <w:pStyle w:val="16"/>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FE3DB87">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331D969B">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245A5F8">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3028BC6">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184E6E2">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2106DF7D">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FFE7618">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068011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DD9A8F8">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D1752D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46DFEA5">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B5F8802">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6E478DB0">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01E9AA0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B2F233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866895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47C417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19A94E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7EF4FC0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30420F5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56A3172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0575791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2BD5985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DA7C6A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53A9F5E7">
      <w:pPr>
        <w:pStyle w:val="16"/>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1923E87F">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5F036FCA">
      <w:pPr>
        <w:pStyle w:val="16"/>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560106CB">
      <w:pPr>
        <w:pStyle w:val="16"/>
        <w:jc w:val="center"/>
        <w:rPr>
          <w:rFonts w:hint="eastAsia" w:ascii="方正小标宋_GBK" w:hAnsi="方正小标宋_GBK" w:eastAsia="方正小标宋_GBK" w:cs="方正小标宋_GBK"/>
          <w:sz w:val="84"/>
          <w:szCs w:val="84"/>
        </w:rPr>
      </w:pPr>
    </w:p>
    <w:p w14:paraId="3F3AC944">
      <w:pPr>
        <w:pStyle w:val="16"/>
        <w:jc w:val="center"/>
        <w:rPr>
          <w:rFonts w:hint="eastAsia" w:ascii="方正小标宋_GBK" w:hAnsi="方正小标宋_GBK" w:eastAsia="方正小标宋_GBK" w:cs="方正小标宋_GBK"/>
          <w:sz w:val="84"/>
          <w:szCs w:val="84"/>
        </w:rPr>
      </w:pPr>
    </w:p>
    <w:p w14:paraId="501BC9DE">
      <w:pPr>
        <w:pStyle w:val="16"/>
        <w:jc w:val="center"/>
        <w:rPr>
          <w:rFonts w:hint="eastAsia" w:ascii="方正小标宋_GBK" w:hAnsi="方正小标宋_GBK" w:eastAsia="方正小标宋_GBK" w:cs="方正小标宋_GBK"/>
          <w:sz w:val="84"/>
          <w:szCs w:val="84"/>
        </w:rPr>
      </w:pPr>
    </w:p>
    <w:p w14:paraId="0FA8EE8E">
      <w:pPr>
        <w:pStyle w:val="16"/>
        <w:jc w:val="center"/>
        <w:rPr>
          <w:rFonts w:hint="eastAsia" w:ascii="方正小标宋_GBK" w:hAnsi="方正小标宋_GBK" w:eastAsia="方正小标宋_GBK" w:cs="方正小标宋_GBK"/>
          <w:sz w:val="84"/>
          <w:szCs w:val="84"/>
        </w:rPr>
      </w:pPr>
    </w:p>
    <w:p w14:paraId="53509B9B">
      <w:pPr>
        <w:pStyle w:val="16"/>
        <w:jc w:val="center"/>
        <w:rPr>
          <w:rFonts w:hint="eastAsia" w:ascii="方正小标宋_GBK" w:hAnsi="方正小标宋_GBK" w:eastAsia="方正小标宋_GBK" w:cs="方正小标宋_GBK"/>
          <w:sz w:val="84"/>
          <w:szCs w:val="84"/>
        </w:rPr>
      </w:pPr>
    </w:p>
    <w:p w14:paraId="48105F3A">
      <w:pPr>
        <w:pStyle w:val="16"/>
        <w:jc w:val="center"/>
        <w:rPr>
          <w:rFonts w:hint="eastAsia" w:ascii="方正小标宋_GBK" w:hAnsi="方正小标宋_GBK" w:eastAsia="方正小标宋_GBK" w:cs="方正小标宋_GBK"/>
          <w:sz w:val="84"/>
          <w:szCs w:val="84"/>
        </w:rPr>
      </w:pPr>
    </w:p>
    <w:p w14:paraId="04B45117">
      <w:pPr>
        <w:pStyle w:val="16"/>
        <w:jc w:val="center"/>
        <w:rPr>
          <w:rFonts w:hint="eastAsia" w:ascii="方正小标宋_GBK" w:hAnsi="方正小标宋_GBK" w:eastAsia="方正小标宋_GBK" w:cs="方正小标宋_GBK"/>
          <w:sz w:val="84"/>
          <w:szCs w:val="84"/>
        </w:rPr>
      </w:pPr>
    </w:p>
    <w:p w14:paraId="485A0E16">
      <w:pPr>
        <w:pStyle w:val="16"/>
        <w:jc w:val="center"/>
        <w:rPr>
          <w:rFonts w:hint="eastAsia" w:ascii="方正小标宋_GBK" w:hAnsi="方正小标宋_GBK" w:eastAsia="方正小标宋_GBK" w:cs="方正小标宋_GBK"/>
          <w:sz w:val="84"/>
          <w:szCs w:val="84"/>
        </w:rPr>
      </w:pPr>
    </w:p>
    <w:p w14:paraId="63C71E55">
      <w:pPr>
        <w:pStyle w:val="16"/>
        <w:jc w:val="center"/>
        <w:rPr>
          <w:rFonts w:hint="eastAsia" w:ascii="方正小标宋_GBK" w:hAnsi="方正小标宋_GBK" w:eastAsia="方正小标宋_GBK" w:cs="方正小标宋_GBK"/>
          <w:sz w:val="84"/>
          <w:szCs w:val="84"/>
        </w:rPr>
      </w:pPr>
    </w:p>
    <w:p w14:paraId="739A8C0B">
      <w:pPr>
        <w:pStyle w:val="16"/>
        <w:jc w:val="center"/>
        <w:rPr>
          <w:rFonts w:hint="eastAsia" w:ascii="方正小标宋_GBK" w:hAnsi="方正小标宋_GBK" w:eastAsia="方正小标宋_GBK" w:cs="方正小标宋_GBK"/>
          <w:sz w:val="84"/>
          <w:szCs w:val="84"/>
        </w:rPr>
      </w:pPr>
    </w:p>
    <w:p w14:paraId="74A0400D">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9A0AA48">
      <w:pPr>
        <w:pStyle w:val="16"/>
        <w:jc w:val="center"/>
        <w:rPr>
          <w:rFonts w:hint="eastAsia" w:ascii="方正小标宋_GBK" w:hAnsi="方正小标宋_GBK" w:eastAsia="方正小标宋_GBK" w:cs="方正小标宋_GBK"/>
          <w:sz w:val="84"/>
          <w:szCs w:val="84"/>
        </w:rPr>
      </w:pPr>
    </w:p>
    <w:p w14:paraId="03F68ACE">
      <w:pPr>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岳阳市供销合作联社</w:t>
      </w:r>
    </w:p>
    <w:p w14:paraId="06D82438">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部门</w:t>
      </w:r>
      <w:r>
        <w:rPr>
          <w:rFonts w:hint="eastAsia" w:ascii="方正小标宋_GBK" w:hAnsi="方正小标宋_GBK" w:eastAsia="方正小标宋_GBK" w:cs="方正小标宋_GBK"/>
          <w:sz w:val="84"/>
          <w:szCs w:val="84"/>
        </w:rPr>
        <w:t>概况</w:t>
      </w:r>
    </w:p>
    <w:p w14:paraId="2D625E94">
      <w:pPr>
        <w:pStyle w:val="9"/>
        <w:rPr>
          <w:rFonts w:hint="eastAsia" w:ascii="方正小标宋_GBK" w:hAnsi="方正小标宋_GBK" w:eastAsia="方正小标宋_GBK" w:cs="方正小标宋_GBK"/>
          <w:sz w:val="84"/>
          <w:szCs w:val="84"/>
        </w:rPr>
      </w:pPr>
    </w:p>
    <w:p w14:paraId="0341D6D5">
      <w:pPr>
        <w:pStyle w:val="5"/>
        <w:rPr>
          <w:rFonts w:hint="eastAsia" w:ascii="方正小标宋_GBK" w:hAnsi="方正小标宋_GBK" w:eastAsia="方正小标宋_GBK" w:cs="方正小标宋_GBK"/>
          <w:sz w:val="84"/>
          <w:szCs w:val="84"/>
        </w:rPr>
      </w:pPr>
    </w:p>
    <w:p w14:paraId="0A605EB3">
      <w:pPr>
        <w:rPr>
          <w:rFonts w:hint="eastAsia" w:ascii="方正小标宋_GBK" w:hAnsi="方正小标宋_GBK" w:eastAsia="方正小标宋_GBK" w:cs="方正小标宋_GBK"/>
          <w:sz w:val="84"/>
          <w:szCs w:val="84"/>
        </w:rPr>
      </w:pPr>
    </w:p>
    <w:p w14:paraId="5111791E">
      <w:pPr>
        <w:pStyle w:val="5"/>
        <w:ind w:left="0" w:leftChars="0" w:firstLine="0" w:firstLineChars="0"/>
        <w:rPr>
          <w:rFonts w:hint="eastAsia" w:ascii="方正小标宋_GBK" w:hAnsi="方正小标宋_GBK" w:eastAsia="方正小标宋_GBK" w:cs="方正小标宋_GBK"/>
          <w:sz w:val="84"/>
          <w:szCs w:val="84"/>
        </w:rPr>
      </w:pPr>
    </w:p>
    <w:p w14:paraId="05B66158">
      <w:pPr>
        <w:pStyle w:val="17"/>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1CC2041">
      <w:pPr>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（一）职能职责</w:t>
      </w:r>
    </w:p>
    <w:p w14:paraId="434C39CF">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 宣传、贯彻党和政府及上级供销社有关农村经济工作的方针、政策、法规和《社章》。</w:t>
      </w:r>
    </w:p>
    <w:p w14:paraId="33332039">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 负责综合分析供销社经济发展状况，研究制订全市供销社的发展战略和规划，指导全市供销社的发展与改革。</w:t>
      </w:r>
    </w:p>
    <w:p w14:paraId="131CB7B0">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 按照政府授权和市场经济的要求，对重要农业生产资料和农副产品经营进行组织、协调、管理。</w:t>
      </w:r>
    </w:p>
    <w:p w14:paraId="20912523">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 指导各级供销社的业务活动，促进全市城乡物资交流，建立和完善农业社会化服务体系。</w:t>
      </w:r>
    </w:p>
    <w:p w14:paraId="78E861B2">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 围绕农业、农村、农民的需要，组织实施以农产品加工为主的社办工业体系建设。</w:t>
      </w:r>
    </w:p>
    <w:p w14:paraId="744E4548">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 对市直供销社企业行使主管职能，并按照资产保值增值的要求，对社有资产进行监督管理。</w:t>
      </w:r>
    </w:p>
    <w:p w14:paraId="2A46EFDD">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 组织全市供销社干部、职工业务培训；检查、指导本系统的队伍建设。</w:t>
      </w:r>
    </w:p>
    <w:p w14:paraId="1321D8C3">
      <w:pPr>
        <w:keepNext/>
        <w:keepLines/>
        <w:shd w:val="clear" w:color="auto" w:fill="FFFFFF"/>
        <w:spacing w:beforeLines="0" w:afterLines="0"/>
        <w:ind w:firstLine="64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8. 承办市委、市政府和上级供销社交办的其他工作。</w:t>
      </w:r>
    </w:p>
    <w:p w14:paraId="4CF593E2">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6286C6D">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（一）内设机构设置。岳阳市供销合作联社单位内设机构包括：办公室、人事科、财务科、合作指导科、经贸发展科、社有资产管理科、审计科；二级机构：岳阳市供销社</w:t>
      </w:r>
      <w:bookmarkStart w:id="0" w:name="_GoBack"/>
      <w:bookmarkEnd w:id="0"/>
      <w:r>
        <w:rPr>
          <w:rFonts w:hint="eastAsia" w:ascii="Times New Roman" w:hAnsi="Times New Roman" w:eastAsia="仿宋_GB2312" w:cs="仿宋_GB2312"/>
          <w:bCs/>
          <w:kern w:val="0"/>
          <w:sz w:val="32"/>
          <w:szCs w:val="32"/>
        </w:rPr>
        <w:t>新农村服务网络中心（财务未独立）。</w:t>
      </w:r>
    </w:p>
    <w:p w14:paraId="2CF597F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（二）决算单位构成。岳阳市供销合作联社单位</w:t>
      </w:r>
      <w:r>
        <w:rPr>
          <w:rFonts w:hint="eastAsia" w:ascii="Times New Roman" w:hAnsi="Times New Roman" w:eastAsia="仿宋_GB2312" w:cs="仿宋_GB2312"/>
          <w:bCs/>
          <w:kern w:val="0"/>
          <w:sz w:val="32"/>
          <w:szCs w:val="32"/>
          <w:lang w:eastAsia="zh-CN"/>
        </w:rPr>
        <w:t>2025年</w:t>
      </w:r>
      <w:r>
        <w:rPr>
          <w:rFonts w:hint="eastAsia" w:ascii="Times New Roman" w:hAnsi="Times New Roman" w:eastAsia="仿宋_GB2312" w:cs="仿宋_GB2312"/>
          <w:bCs/>
          <w:kern w:val="0"/>
          <w:sz w:val="32"/>
          <w:szCs w:val="32"/>
        </w:rPr>
        <w:t>部门决算汇总公开单位构成包括：岳阳市供销合作联社单位本级以及二级机构岳阳市供销社新农村服务网络中心（财务未独立）。</w:t>
      </w:r>
    </w:p>
    <w:p w14:paraId="11AAF7A4"/>
    <w:p w14:paraId="4A9E3660">
      <w:pPr>
        <w:pStyle w:val="9"/>
      </w:pPr>
    </w:p>
    <w:p w14:paraId="78FBABF6">
      <w:pPr>
        <w:pStyle w:val="5"/>
      </w:pPr>
    </w:p>
    <w:p w14:paraId="24C67131"/>
    <w:p w14:paraId="76E33295">
      <w:pPr>
        <w:pStyle w:val="9"/>
      </w:pPr>
    </w:p>
    <w:p w14:paraId="7BA6DC8F">
      <w:pPr>
        <w:pStyle w:val="5"/>
      </w:pPr>
    </w:p>
    <w:p w14:paraId="1311B079"/>
    <w:p w14:paraId="265B9A15">
      <w:pPr>
        <w:pStyle w:val="9"/>
      </w:pPr>
    </w:p>
    <w:p w14:paraId="3A6399A2">
      <w:pPr>
        <w:pStyle w:val="5"/>
      </w:pPr>
    </w:p>
    <w:p w14:paraId="09678E80"/>
    <w:p w14:paraId="44D6C4CD">
      <w:pPr>
        <w:pStyle w:val="9"/>
      </w:pPr>
    </w:p>
    <w:p w14:paraId="2BE5EFBF">
      <w:pPr>
        <w:pStyle w:val="5"/>
      </w:pPr>
    </w:p>
    <w:p w14:paraId="300AD744"/>
    <w:p w14:paraId="7173CC92">
      <w:pPr>
        <w:pStyle w:val="9"/>
      </w:pPr>
    </w:p>
    <w:p w14:paraId="14C32C6E">
      <w:pPr>
        <w:pStyle w:val="5"/>
      </w:pPr>
    </w:p>
    <w:p w14:paraId="21A03CF6"/>
    <w:p w14:paraId="0ED4680E">
      <w:pPr>
        <w:pStyle w:val="16"/>
        <w:jc w:val="both"/>
        <w:rPr>
          <w:rFonts w:hint="eastAsia" w:ascii="方正小标宋_GBK" w:hAnsi="方正小标宋_GBK" w:eastAsia="方正小标宋_GBK" w:cs="方正小标宋_GBK"/>
          <w:sz w:val="84"/>
          <w:szCs w:val="84"/>
        </w:rPr>
      </w:pPr>
    </w:p>
    <w:p w14:paraId="74E7A328">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43E5FB70">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F865DC6">
      <w:pPr>
        <w:pStyle w:val="16"/>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3D1E1461">
      <w:pPr>
        <w:pStyle w:val="16"/>
        <w:jc w:val="center"/>
        <w:rPr>
          <w:rFonts w:hint="eastAsia" w:ascii="仿宋_GB2312" w:hAnsi="仿宋_GB2312" w:eastAsia="仿宋_GB2312" w:cs="仿宋_GB2312"/>
          <w:b w:val="0"/>
          <w:bCs w:val="0"/>
          <w:sz w:val="72"/>
          <w:szCs w:val="72"/>
          <w:lang w:eastAsia="zh-CN"/>
        </w:rPr>
      </w:pPr>
    </w:p>
    <w:p w14:paraId="527646FF">
      <w:pPr>
        <w:pStyle w:val="16"/>
        <w:jc w:val="center"/>
        <w:rPr>
          <w:rFonts w:hint="eastAsia" w:ascii="仿宋_GB2312" w:hAnsi="仿宋_GB2312" w:eastAsia="仿宋_GB2312" w:cs="仿宋_GB2312"/>
          <w:b w:val="0"/>
          <w:bCs w:val="0"/>
          <w:sz w:val="72"/>
          <w:szCs w:val="72"/>
          <w:lang w:eastAsia="zh-CN"/>
        </w:rPr>
      </w:pPr>
    </w:p>
    <w:p w14:paraId="35A3B980">
      <w:pPr>
        <w:pStyle w:val="16"/>
        <w:jc w:val="center"/>
        <w:rPr>
          <w:rFonts w:hint="eastAsia" w:ascii="仿宋_GB2312" w:hAnsi="仿宋_GB2312" w:eastAsia="仿宋_GB2312" w:cs="仿宋_GB2312"/>
          <w:b w:val="0"/>
          <w:bCs w:val="0"/>
          <w:sz w:val="72"/>
          <w:szCs w:val="72"/>
          <w:lang w:eastAsia="zh-CN"/>
        </w:rPr>
      </w:pPr>
    </w:p>
    <w:p w14:paraId="18343316">
      <w:pPr>
        <w:pStyle w:val="16"/>
        <w:jc w:val="center"/>
        <w:rPr>
          <w:rFonts w:hint="eastAsia" w:ascii="仿宋_GB2312" w:hAnsi="仿宋_GB2312" w:eastAsia="仿宋_GB2312" w:cs="仿宋_GB2312"/>
          <w:b w:val="0"/>
          <w:bCs w:val="0"/>
          <w:sz w:val="72"/>
          <w:szCs w:val="72"/>
          <w:lang w:eastAsia="zh-CN"/>
        </w:rPr>
      </w:pPr>
    </w:p>
    <w:p w14:paraId="36BD0D44">
      <w:pPr>
        <w:pStyle w:val="16"/>
        <w:jc w:val="center"/>
        <w:rPr>
          <w:rFonts w:hint="eastAsia" w:ascii="仿宋_GB2312" w:hAnsi="仿宋_GB2312" w:eastAsia="仿宋_GB2312" w:cs="仿宋_GB2312"/>
          <w:b w:val="0"/>
          <w:bCs w:val="0"/>
          <w:sz w:val="72"/>
          <w:szCs w:val="72"/>
          <w:lang w:eastAsia="zh-CN"/>
        </w:rPr>
      </w:pPr>
    </w:p>
    <w:p w14:paraId="45DA2C5C">
      <w:pPr>
        <w:pStyle w:val="16"/>
        <w:jc w:val="center"/>
        <w:rPr>
          <w:rFonts w:hint="eastAsia" w:ascii="仿宋_GB2312" w:hAnsi="仿宋_GB2312" w:eastAsia="仿宋_GB2312" w:cs="仿宋_GB2312"/>
          <w:b w:val="0"/>
          <w:bCs w:val="0"/>
          <w:sz w:val="72"/>
          <w:szCs w:val="72"/>
          <w:lang w:eastAsia="zh-CN"/>
        </w:rPr>
      </w:pPr>
    </w:p>
    <w:p w14:paraId="56955CBE">
      <w:pPr>
        <w:pStyle w:val="16"/>
        <w:jc w:val="center"/>
        <w:rPr>
          <w:rFonts w:hint="eastAsia" w:ascii="仿宋_GB2312" w:hAnsi="仿宋_GB2312" w:eastAsia="仿宋_GB2312" w:cs="仿宋_GB2312"/>
          <w:b w:val="0"/>
          <w:bCs w:val="0"/>
          <w:sz w:val="72"/>
          <w:szCs w:val="72"/>
          <w:lang w:eastAsia="zh-CN"/>
        </w:rPr>
      </w:pPr>
    </w:p>
    <w:p w14:paraId="79F1A723">
      <w:pPr>
        <w:pStyle w:val="16"/>
        <w:jc w:val="center"/>
        <w:rPr>
          <w:rFonts w:hint="eastAsia" w:ascii="方正小标宋_GBK" w:hAnsi="方正小标宋_GBK" w:eastAsia="方正小标宋_GBK" w:cs="方正小标宋_GBK"/>
          <w:sz w:val="72"/>
          <w:szCs w:val="72"/>
        </w:rPr>
      </w:pPr>
    </w:p>
    <w:p w14:paraId="2FBA4910">
      <w:pPr>
        <w:pStyle w:val="16"/>
        <w:jc w:val="center"/>
        <w:rPr>
          <w:rFonts w:hint="eastAsia" w:ascii="方正小标宋_GBK" w:hAnsi="方正小标宋_GBK" w:eastAsia="方正小标宋_GBK" w:cs="方正小标宋_GBK"/>
          <w:sz w:val="72"/>
          <w:szCs w:val="72"/>
        </w:rPr>
      </w:pPr>
    </w:p>
    <w:p w14:paraId="1EA90A60">
      <w:pPr>
        <w:pStyle w:val="16"/>
        <w:jc w:val="both"/>
        <w:rPr>
          <w:rFonts w:hint="eastAsia" w:ascii="方正小标宋_GBK" w:hAnsi="方正小标宋_GBK" w:eastAsia="方正小标宋_GBK" w:cs="方正小标宋_GBK"/>
          <w:sz w:val="72"/>
          <w:szCs w:val="72"/>
        </w:rPr>
      </w:pPr>
    </w:p>
    <w:p w14:paraId="6EA55EFC">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730CCE0A">
      <w:pPr>
        <w:pStyle w:val="16"/>
        <w:jc w:val="center"/>
        <w:rPr>
          <w:rFonts w:hint="eastAsia" w:ascii="方正小标宋_GBK" w:hAnsi="方正小标宋_GBK" w:eastAsia="方正小标宋_GBK" w:cs="方正小标宋_GBK"/>
          <w:sz w:val="70"/>
          <w:szCs w:val="70"/>
        </w:rPr>
      </w:pPr>
    </w:p>
    <w:p w14:paraId="7FE775A5">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1694D9C2">
      <w:pPr>
        <w:pStyle w:val="16"/>
        <w:jc w:val="center"/>
        <w:rPr>
          <w:rFonts w:hint="eastAsia" w:ascii="方正小标宋_GBK" w:hAnsi="方正小标宋_GBK" w:eastAsia="方正小标宋_GBK" w:cs="方正小标宋_GBK"/>
          <w:sz w:val="70"/>
          <w:szCs w:val="70"/>
        </w:rPr>
      </w:pPr>
    </w:p>
    <w:p w14:paraId="134AC912">
      <w:pPr>
        <w:pStyle w:val="16"/>
        <w:jc w:val="center"/>
        <w:rPr>
          <w:rFonts w:hint="eastAsia" w:ascii="方正小标宋_GBK" w:hAnsi="方正小标宋_GBK" w:eastAsia="方正小标宋_GBK" w:cs="方正小标宋_GBK"/>
          <w:sz w:val="70"/>
          <w:szCs w:val="70"/>
        </w:rPr>
      </w:pPr>
    </w:p>
    <w:p w14:paraId="55395349">
      <w:pPr>
        <w:pStyle w:val="16"/>
        <w:jc w:val="center"/>
        <w:rPr>
          <w:rFonts w:hint="eastAsia" w:ascii="方正小标宋_GBK" w:hAnsi="方正小标宋_GBK" w:eastAsia="方正小标宋_GBK" w:cs="方正小标宋_GBK"/>
          <w:sz w:val="70"/>
          <w:szCs w:val="70"/>
        </w:rPr>
      </w:pPr>
    </w:p>
    <w:p w14:paraId="64595933">
      <w:pPr>
        <w:pStyle w:val="16"/>
        <w:jc w:val="both"/>
        <w:rPr>
          <w:rFonts w:hint="eastAsia" w:ascii="方正小标宋_GBK" w:hAnsi="方正小标宋_GBK" w:eastAsia="方正小标宋_GBK" w:cs="方正小标宋_GBK"/>
          <w:sz w:val="70"/>
          <w:szCs w:val="70"/>
        </w:rPr>
      </w:pPr>
    </w:p>
    <w:p w14:paraId="35548B46">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3A78EDB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764C8F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度收、支总计1,140.80万元。与上年相比，减少</w:t>
      </w:r>
      <w:r>
        <w:rPr>
          <w:rFonts w:hint="eastAsia" w:ascii="仿宋_GB2312" w:hAnsi="仿宋_GB2312" w:eastAsia="仿宋_GB2312" w:cs="仿宋_GB2312"/>
          <w:sz w:val="32"/>
          <w:szCs w:val="32"/>
          <w:lang w:val="en-US" w:eastAsia="zh-CN"/>
        </w:rPr>
        <w:t>1439.88</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55.79</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上年政府性基金预算安排了九方商厦地块收储项目房屋征收成本。</w:t>
      </w:r>
    </w:p>
    <w:p w14:paraId="0D1C340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4D3805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1140.8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99.05</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0.95</w:t>
      </w:r>
      <w:r>
        <w:rPr>
          <w:rFonts w:hint="eastAsia" w:ascii="仿宋_GB2312" w:hAnsi="仿宋_GB2312" w:eastAsia="仿宋_GB2312" w:cs="仿宋_GB2312"/>
          <w:sz w:val="32"/>
          <w:szCs w:val="32"/>
        </w:rPr>
        <w:t>%。</w:t>
      </w:r>
    </w:p>
    <w:p w14:paraId="63E1E79A">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CBE8FD7">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1140.79</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970.79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85.10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170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14.90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109C8B9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AAB823D">
      <w:pPr>
        <w:pStyle w:val="16"/>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1408.31</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55.48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上年政府性基金预算安排了九方商厦地块收储项目房屋征收成本。</w:t>
      </w:r>
    </w:p>
    <w:p w14:paraId="73BC5A1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39221913">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73646B49">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99.05</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107.04</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8.65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2025年度财政预算下调了农资淡季储备补贴项目资金。</w:t>
      </w:r>
    </w:p>
    <w:p w14:paraId="5F53B7E8">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15198DC6">
      <w:pPr>
        <w:pStyle w:val="16"/>
        <w:keepNext w:val="0"/>
        <w:keepLines w:val="0"/>
        <w:pageBreakBefore w:val="0"/>
        <w:widowControl w:val="0"/>
        <w:kinsoku/>
        <w:wordWrap/>
        <w:overflowPunct/>
        <w:topLinePunct w:val="0"/>
        <w:bidi w:val="0"/>
        <w:snapToGrid/>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万元，主要用于以下方面：一般公共服务支出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2.65</w:t>
      </w:r>
      <w:r>
        <w:rPr>
          <w:rFonts w:hint="eastAsia" w:ascii="仿宋_GB2312" w:hAnsi="仿宋_GB2312" w:eastAsia="仿宋_GB2312" w:cs="仿宋_GB2312"/>
          <w:sz w:val="32"/>
          <w:szCs w:val="32"/>
        </w:rPr>
        <w:t>%；社会保障和就业支出1</w:t>
      </w:r>
      <w:r>
        <w:rPr>
          <w:rFonts w:hint="eastAsia" w:ascii="仿宋_GB2312" w:hAnsi="仿宋_GB2312" w:eastAsia="仿宋_GB2312" w:cs="仿宋_GB2312"/>
          <w:sz w:val="32"/>
          <w:szCs w:val="32"/>
          <w:lang w:val="en-US" w:eastAsia="zh-CN"/>
        </w:rPr>
        <w:t>22.71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10.86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卫生健康支出</w:t>
      </w:r>
      <w:r>
        <w:rPr>
          <w:rFonts w:hint="eastAsia" w:ascii="仿宋_GB2312" w:hAnsi="仿宋_GB2312" w:eastAsia="仿宋_GB2312" w:cs="仿宋_GB2312"/>
          <w:sz w:val="32"/>
          <w:szCs w:val="32"/>
          <w:lang w:val="en-US" w:eastAsia="zh-CN"/>
        </w:rPr>
        <w:t>19.93万元，占1.76%；农林水支出60万元，占5.31%；</w:t>
      </w:r>
      <w:r>
        <w:rPr>
          <w:rFonts w:hint="eastAsia" w:ascii="仿宋_GB2312" w:hAnsi="仿宋_GB2312" w:eastAsia="仿宋_GB2312" w:cs="仿宋_GB2312"/>
          <w:sz w:val="32"/>
          <w:szCs w:val="32"/>
        </w:rPr>
        <w:t>资源勘探工业信息等支出1.</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0.10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;商业服务业等支出</w:t>
      </w:r>
      <w:r>
        <w:rPr>
          <w:rFonts w:hint="eastAsia" w:ascii="仿宋_GB2312" w:hAnsi="仿宋_GB2312" w:eastAsia="仿宋_GB2312" w:cs="仿宋_GB2312"/>
          <w:sz w:val="32"/>
          <w:szCs w:val="32"/>
          <w:lang w:val="en-US" w:eastAsia="zh-CN"/>
        </w:rPr>
        <w:t>858.58</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75.98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37.70</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3.34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133B9F1E">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2FB9B438">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764.09</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147.89</w:t>
      </w:r>
      <w:r>
        <w:rPr>
          <w:rFonts w:hint="eastAsia" w:ascii="仿宋_GB2312" w:hAnsi="仿宋_GB2312" w:eastAsia="仿宋_GB2312" w:cs="仿宋_GB2312"/>
          <w:sz w:val="32"/>
          <w:szCs w:val="32"/>
        </w:rPr>
        <w:t>%，其中：</w:t>
      </w:r>
    </w:p>
    <w:p w14:paraId="24CD2203">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1、一般公共服务（类）政协事务（款）一般行政管理事务（项）。</w:t>
      </w:r>
    </w:p>
    <w:p w14:paraId="2D37206F">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财政下达了日常工作经费等项目。</w:t>
      </w:r>
    </w:p>
    <w:p w14:paraId="05095343">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2、社会保障和就业支出（类）行政事业单位养老支出（款）机关事业单位基本养老保险缴费支出（项）。</w:t>
      </w:r>
    </w:p>
    <w:p w14:paraId="4F860E11">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52.23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52.23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该预算为</w:t>
      </w:r>
      <w:r>
        <w:rPr>
          <w:rFonts w:hint="eastAsia" w:ascii="仿宋_GB2312" w:hAnsi="仿宋_GB2312" w:eastAsia="仿宋_GB2312" w:cs="仿宋_GB2312"/>
          <w:sz w:val="32"/>
          <w:szCs w:val="32"/>
          <w:lang w:val="en-US" w:eastAsia="zh-CN"/>
        </w:rPr>
        <w:t>单位养老保险缴费支出</w:t>
      </w:r>
      <w:r>
        <w:rPr>
          <w:rFonts w:hint="eastAsia" w:ascii="仿宋_GB2312" w:hAnsi="仿宋_GB2312" w:eastAsia="仿宋_GB2312" w:cs="仿宋_GB2312"/>
          <w:sz w:val="32"/>
          <w:szCs w:val="32"/>
          <w:lang w:eastAsia="zh-CN"/>
        </w:rPr>
        <w:t>，已全部用于本年度</w:t>
      </w:r>
      <w:r>
        <w:rPr>
          <w:rFonts w:hint="eastAsia" w:ascii="仿宋_GB2312" w:hAnsi="仿宋_GB2312" w:eastAsia="仿宋_GB2312" w:cs="仿宋_GB2312"/>
          <w:sz w:val="32"/>
          <w:szCs w:val="32"/>
          <w:lang w:val="en-US" w:eastAsia="zh-CN"/>
        </w:rPr>
        <w:t>养老保险缴纳</w:t>
      </w:r>
      <w:r>
        <w:rPr>
          <w:rFonts w:hint="eastAsia" w:ascii="仿宋_GB2312" w:hAnsi="仿宋_GB2312" w:eastAsia="仿宋_GB2312" w:cs="仿宋_GB2312"/>
          <w:sz w:val="32"/>
          <w:szCs w:val="32"/>
          <w:lang w:eastAsia="zh-CN"/>
        </w:rPr>
        <w:t>，故决算数与预算数一致。</w:t>
      </w:r>
    </w:p>
    <w:p w14:paraId="723712F5">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、社会保障和就业支出（类）行政事业单位养老支出（款）其他行政事业单位养老支出（项）</w:t>
      </w:r>
      <w:r>
        <w:rPr>
          <w:rFonts w:hint="eastAsia" w:ascii="仿宋_GB2312" w:hAnsi="仿宋_GB2312" w:eastAsia="仿宋_GB2312" w:cs="仿宋_GB2312"/>
          <w:sz w:val="32"/>
          <w:szCs w:val="32"/>
          <w:lang w:eastAsia="zh-CN"/>
        </w:rPr>
        <w:t>。</w:t>
      </w:r>
    </w:p>
    <w:p w14:paraId="075F6DC6">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年初预算为0万元，支出决算为14.72万元，由于预算数为0，无法计算完成年初预算的百分比，决算数大于年初预算数的主要原因是：财政下达了离休干部生活补贴等。</w:t>
      </w:r>
    </w:p>
    <w:p w14:paraId="7D8BD19E">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4、社会保障和就业支出（类）抚恤（款）其他优抚支出（项）。</w:t>
      </w:r>
    </w:p>
    <w:p w14:paraId="4FB45C13">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年初预算为0万元，支出决算为20.97万元，由于预算数为0，无法计算完成年初预算的百分比，决算数大于年初预算数的主要原因是财政下达了一次性抚恤金。</w:t>
      </w:r>
    </w:p>
    <w:p w14:paraId="5349A4A4">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、社会保障和就业支出（类）退役安置（款）军队转业干部安置（项）</w:t>
      </w:r>
      <w:r>
        <w:rPr>
          <w:rFonts w:hint="eastAsia" w:ascii="仿宋_GB2312" w:hAnsi="仿宋_GB2312" w:eastAsia="仿宋_GB2312" w:cs="仿宋_GB2312"/>
          <w:sz w:val="32"/>
          <w:szCs w:val="32"/>
          <w:lang w:eastAsia="zh-CN"/>
        </w:rPr>
        <w:t>。</w:t>
      </w:r>
    </w:p>
    <w:p w14:paraId="5A1345DA">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年初预算为0万元，支出决算为4.10万元，由于预算数为0，无法计算完成年初预算的百分比，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财政下达了军转干部医疗补助等。</w:t>
      </w:r>
    </w:p>
    <w:p w14:paraId="0B0F508C">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、社会保障和就业支出（类）退役安置（款）其他退役安置支出（项）</w:t>
      </w:r>
      <w:r>
        <w:rPr>
          <w:rFonts w:hint="eastAsia" w:ascii="仿宋_GB2312" w:hAnsi="仿宋_GB2312" w:eastAsia="仿宋_GB2312" w:cs="仿宋_GB2312"/>
          <w:sz w:val="32"/>
          <w:szCs w:val="32"/>
          <w:lang w:eastAsia="zh-CN"/>
        </w:rPr>
        <w:t>。</w:t>
      </w:r>
    </w:p>
    <w:p w14:paraId="101D88FA">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年初预算为0万元，支出决算为4.40万元，由于预算数为0，无法计算完成年初预算的百分比，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：财政下达了军转干部慰问款等。</w:t>
      </w:r>
    </w:p>
    <w:p w14:paraId="5AFA875A">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、社会保障和就业支出（类）残疾人事业（款）其他残疾人事业支出（项）</w:t>
      </w:r>
      <w:r>
        <w:rPr>
          <w:rFonts w:hint="eastAsia" w:ascii="仿宋_GB2312" w:hAnsi="仿宋_GB2312" w:eastAsia="仿宋_GB2312" w:cs="仿宋_GB2312"/>
          <w:sz w:val="32"/>
          <w:szCs w:val="32"/>
          <w:lang w:eastAsia="zh-CN"/>
        </w:rPr>
        <w:t>。</w:t>
      </w:r>
    </w:p>
    <w:p w14:paraId="17A4460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年初预算为4.23万元，支出决算为4.23万元，完成年初预算的100%，决算数等于年初预算数的主要原因是：</w:t>
      </w:r>
      <w:r>
        <w:rPr>
          <w:rFonts w:hint="eastAsia" w:ascii="仿宋_GB2312" w:hAnsi="仿宋_GB2312" w:eastAsia="仿宋_GB2312" w:cs="仿宋_GB2312"/>
          <w:sz w:val="32"/>
          <w:szCs w:val="32"/>
          <w:lang w:eastAsia="zh-CN"/>
        </w:rPr>
        <w:t>该预算为</w:t>
      </w:r>
      <w:r>
        <w:rPr>
          <w:rFonts w:hint="eastAsia" w:ascii="仿宋_GB2312" w:hAnsi="仿宋_GB2312" w:eastAsia="仿宋_GB2312" w:cs="仿宋_GB2312"/>
          <w:sz w:val="32"/>
          <w:szCs w:val="32"/>
          <w:lang w:val="en-US" w:eastAsia="zh-CN"/>
        </w:rPr>
        <w:t>单位残保金支出</w:t>
      </w:r>
      <w:r>
        <w:rPr>
          <w:rFonts w:hint="eastAsia" w:ascii="仿宋_GB2312" w:hAnsi="仿宋_GB2312" w:eastAsia="仿宋_GB2312" w:cs="仿宋_GB2312"/>
          <w:sz w:val="32"/>
          <w:szCs w:val="32"/>
          <w:lang w:eastAsia="zh-CN"/>
        </w:rPr>
        <w:t>，已全部用于本年度</w:t>
      </w:r>
      <w:r>
        <w:rPr>
          <w:rFonts w:hint="eastAsia" w:ascii="仿宋_GB2312" w:hAnsi="仿宋_GB2312" w:eastAsia="仿宋_GB2312" w:cs="仿宋_GB2312"/>
          <w:sz w:val="32"/>
          <w:szCs w:val="32"/>
          <w:lang w:val="en-US" w:eastAsia="zh-CN"/>
        </w:rPr>
        <w:t>残保金缴纳</w:t>
      </w:r>
      <w:r>
        <w:rPr>
          <w:rFonts w:hint="eastAsia" w:ascii="仿宋_GB2312" w:hAnsi="仿宋_GB2312" w:eastAsia="仿宋_GB2312" w:cs="仿宋_GB2312"/>
          <w:sz w:val="32"/>
          <w:szCs w:val="32"/>
          <w:lang w:eastAsia="zh-CN"/>
        </w:rPr>
        <w:t>，故决算数与预算数一致。</w:t>
      </w:r>
    </w:p>
    <w:p w14:paraId="6B0E1BAD">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、社会保障和就业支出（类）其他社会保障和就业支出（款）其他社会保障和就业支出（项）</w:t>
      </w:r>
      <w:r>
        <w:rPr>
          <w:rFonts w:hint="eastAsia" w:ascii="仿宋_GB2312" w:hAnsi="仿宋_GB2312" w:eastAsia="仿宋_GB2312" w:cs="仿宋_GB2312"/>
          <w:sz w:val="32"/>
          <w:szCs w:val="32"/>
          <w:lang w:eastAsia="zh-CN"/>
        </w:rPr>
        <w:t>。</w:t>
      </w:r>
    </w:p>
    <w:p w14:paraId="2EE09242">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年初预算为0万元，支出决算为22.06万元，由于预算数为0，无法计算完成年初预算的百分比，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：财政下达了一次性抚恤遗属费、离休干部遗孀补贴、工伤保险补差等。</w:t>
      </w:r>
    </w:p>
    <w:p w14:paraId="2DDA2BBB">
      <w:pPr>
        <w:pStyle w:val="16"/>
        <w:keepNext w:val="0"/>
        <w:keepLines w:val="0"/>
        <w:pageBreakBefore w:val="0"/>
        <w:widowControl w:val="0"/>
        <w:kinsoku/>
        <w:wordWrap/>
        <w:overflowPunct/>
        <w:topLinePunct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、卫生健康支出（类）行政事业单位医疗（款）行政单位医疗（项）</w:t>
      </w:r>
      <w:r>
        <w:rPr>
          <w:rFonts w:hint="eastAsia" w:ascii="仿宋_GB2312" w:hAnsi="仿宋_GB2312" w:eastAsia="仿宋_GB2312" w:cs="仿宋_GB2312"/>
          <w:sz w:val="32"/>
          <w:szCs w:val="32"/>
          <w:lang w:eastAsia="zh-CN"/>
        </w:rPr>
        <w:t>。</w:t>
      </w:r>
    </w:p>
    <w:p w14:paraId="27DEE2C7">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szCs w:val="32"/>
          <w:lang w:val="en-US" w:eastAsia="zh-CN" w:bidi="ar-SA"/>
        </w:rPr>
        <w:t>年初预算为19.93万元，支出决算为19.93万元，完成年初预算的100%，决算数等于年初预算数的主要原因是：</w:t>
      </w:r>
      <w:r>
        <w:rPr>
          <w:rFonts w:hint="eastAsia" w:ascii="仿宋_GB2312" w:hAnsi="仿宋_GB2312" w:eastAsia="仿宋_GB2312" w:cs="仿宋_GB2312"/>
          <w:sz w:val="32"/>
          <w:szCs w:val="32"/>
          <w:lang w:eastAsia="zh-CN"/>
        </w:rPr>
        <w:t>该预算为</w:t>
      </w:r>
      <w:r>
        <w:rPr>
          <w:rFonts w:hint="eastAsia" w:ascii="仿宋_GB2312" w:hAnsi="仿宋_GB2312" w:eastAsia="仿宋_GB2312" w:cs="仿宋_GB2312"/>
          <w:sz w:val="32"/>
          <w:szCs w:val="32"/>
          <w:lang w:val="en-US" w:eastAsia="zh-CN"/>
        </w:rPr>
        <w:t>单位医疗保险支出</w:t>
      </w:r>
      <w:r>
        <w:rPr>
          <w:rFonts w:hint="eastAsia" w:ascii="仿宋_GB2312" w:hAnsi="仿宋_GB2312" w:eastAsia="仿宋_GB2312" w:cs="仿宋_GB2312"/>
          <w:sz w:val="32"/>
          <w:szCs w:val="32"/>
          <w:lang w:eastAsia="zh-CN"/>
        </w:rPr>
        <w:t>，已全部用于本年度</w:t>
      </w:r>
      <w:r>
        <w:rPr>
          <w:rFonts w:hint="eastAsia" w:ascii="仿宋_GB2312" w:hAnsi="仿宋_GB2312" w:eastAsia="仿宋_GB2312" w:cs="仿宋_GB2312"/>
          <w:sz w:val="32"/>
          <w:szCs w:val="32"/>
          <w:lang w:val="en-US" w:eastAsia="zh-CN"/>
        </w:rPr>
        <w:t>医疗保险缴纳</w:t>
      </w:r>
      <w:r>
        <w:rPr>
          <w:rFonts w:hint="eastAsia" w:ascii="仿宋_GB2312" w:hAnsi="仿宋_GB2312" w:eastAsia="仿宋_GB2312" w:cs="仿宋_GB2312"/>
          <w:sz w:val="32"/>
          <w:szCs w:val="32"/>
          <w:lang w:eastAsia="zh-CN"/>
        </w:rPr>
        <w:t>，故决算数与预算数一致。</w:t>
      </w:r>
    </w:p>
    <w:p w14:paraId="45D617DF">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p>
    <w:p w14:paraId="16525727">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、农林水支出（类）农业农村（款）其他农业农村支出（项）</w:t>
      </w:r>
      <w:r>
        <w:rPr>
          <w:rFonts w:hint="eastAsia" w:ascii="仿宋_GB2312" w:hAnsi="仿宋_GB2312" w:eastAsia="仿宋_GB2312" w:cs="仿宋_GB2312"/>
          <w:sz w:val="32"/>
          <w:szCs w:val="32"/>
          <w:lang w:eastAsia="zh-CN"/>
        </w:rPr>
        <w:t>。</w:t>
      </w:r>
    </w:p>
    <w:p w14:paraId="6FDC108E">
      <w:pPr>
        <w:pStyle w:val="16"/>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年初预算为0万元，支出决算为60万元，由于预算数为0，无法计算完成年初预算的百分比，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财政下达了农资淡季化肥储备补贴项目资金。</w:t>
      </w:r>
    </w:p>
    <w:p w14:paraId="24CF5DB1">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11、资源勘探工业信息等支出（类）国有资产监管（款）其他国有资产监管支出</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kern w:val="0"/>
          <w:sz w:val="32"/>
          <w:szCs w:val="32"/>
          <w:lang w:val="en-US" w:eastAsia="zh-CN" w:bidi="ar-SA"/>
        </w:rPr>
        <w:t>。</w:t>
      </w:r>
    </w:p>
    <w:p w14:paraId="5FF9B322">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年初预算为0万元，支出决算为1.08万元，</w:t>
      </w:r>
      <w:r>
        <w:rPr>
          <w:rFonts w:hint="eastAsia" w:ascii="仿宋_GB2312" w:hAnsi="仿宋_GB2312" w:eastAsia="仿宋_GB2312" w:cs="仿宋_GB2312"/>
          <w:sz w:val="32"/>
          <w:szCs w:val="32"/>
          <w:lang w:val="en-US" w:eastAsia="zh-CN"/>
        </w:rPr>
        <w:t>由于预算数为0，无法计算完成年初预算的百分比，</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color w:val="000000"/>
          <w:kern w:val="0"/>
          <w:sz w:val="32"/>
          <w:szCs w:val="32"/>
          <w:lang w:val="en-US" w:eastAsia="zh-CN" w:bidi="ar-SA"/>
        </w:rPr>
        <w:t>：财政下达了国有企业退休干部帮扶解困资金。</w:t>
      </w:r>
    </w:p>
    <w:p w14:paraId="483516AF">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12、商业服务业等支出（类）商业流通事务（款）行政运行</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kern w:val="0"/>
          <w:sz w:val="32"/>
          <w:szCs w:val="32"/>
          <w:lang w:val="en-US" w:eastAsia="zh-CN" w:bidi="ar-SA"/>
        </w:rPr>
        <w:t>。</w:t>
      </w:r>
    </w:p>
    <w:p w14:paraId="03477C24">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年初预算为610.02万元，支出决算为608.49万元，完成年初预算的99.75%，决算数小于年初预算数的主要原因是因工作调整，行政运行经费略有结余。</w:t>
      </w:r>
    </w:p>
    <w:p w14:paraId="517AE2C4">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13、商业服务业等支出（类）商业流通事务（款）其他商业流通事务支出</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kern w:val="0"/>
          <w:sz w:val="32"/>
          <w:szCs w:val="32"/>
          <w:lang w:val="en-US" w:eastAsia="zh-CN" w:bidi="ar-SA"/>
        </w:rPr>
        <w:t>。</w:t>
      </w:r>
    </w:p>
    <w:p w14:paraId="15FADD32">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年初预算为0万元，支出决算为80万元，由于预算数为0，无法计算完成年初预算的百分比，决算数大于年初预算数的主要原因是财政下达了岳阳新型县域流通综合体建设项目资金。</w:t>
      </w:r>
    </w:p>
    <w:p w14:paraId="4E9B5EDD">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14、商业服务业等支出（类）其他商业服务业等支出（款）其他商业服务业等支出</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kern w:val="0"/>
          <w:sz w:val="32"/>
          <w:szCs w:val="32"/>
          <w:lang w:val="en-US" w:eastAsia="zh-CN" w:bidi="ar-SA"/>
        </w:rPr>
        <w:t>。</w:t>
      </w:r>
    </w:p>
    <w:p w14:paraId="1953CD21">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年初预算为0万元，支出决算为170.09万元，由于预算数为0，无法计算完成年初预算的百分比，决算数大于年初预算数的主要原因是：财政追加了工资补差、13月工资、年终绩效奖等人员经费。</w:t>
      </w:r>
    </w:p>
    <w:p w14:paraId="2F86B433">
      <w:pPr>
        <w:pStyle w:val="16"/>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15、住房保障支出（类）住房改革支出（款）住房公积金</w:t>
      </w:r>
      <w:r>
        <w:rPr>
          <w:rFonts w:hint="eastAsia" w:ascii="仿宋_GB2312" w:hAnsi="仿宋_GB2312" w:eastAsia="仿宋_GB2312" w:cs="仿宋_GB2312"/>
          <w:sz w:val="32"/>
          <w:szCs w:val="32"/>
        </w:rPr>
        <w:t>（项）</w:t>
      </w:r>
      <w:r>
        <w:rPr>
          <w:rFonts w:hint="eastAsia" w:ascii="仿宋_GB2312" w:hAnsi="仿宋_GB2312" w:eastAsia="仿宋_GB2312" w:cs="仿宋_GB2312"/>
          <w:color w:val="000000"/>
          <w:kern w:val="0"/>
          <w:sz w:val="32"/>
          <w:szCs w:val="32"/>
          <w:lang w:val="en-US" w:eastAsia="zh-CN" w:bidi="ar-SA"/>
        </w:rPr>
        <w:t>。</w:t>
      </w:r>
    </w:p>
    <w:p w14:paraId="43421AF1">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SA"/>
        </w:rPr>
        <w:t>年初预算为37.70万元，支出决算为37.70万元，完成年初预算的100%，决算数等于年初预算数的主要原因是：</w:t>
      </w:r>
      <w:r>
        <w:rPr>
          <w:rFonts w:hint="eastAsia" w:ascii="仿宋_GB2312" w:hAnsi="仿宋_GB2312" w:eastAsia="仿宋_GB2312" w:cs="仿宋_GB2312"/>
          <w:sz w:val="32"/>
          <w:szCs w:val="32"/>
          <w:lang w:eastAsia="zh-CN"/>
        </w:rPr>
        <w:t>该预算为</w:t>
      </w:r>
      <w:r>
        <w:rPr>
          <w:rFonts w:hint="eastAsia" w:ascii="仿宋_GB2312" w:hAnsi="仿宋_GB2312" w:eastAsia="仿宋_GB2312" w:cs="仿宋_GB2312"/>
          <w:sz w:val="32"/>
          <w:szCs w:val="32"/>
          <w:lang w:val="en-US" w:eastAsia="zh-CN"/>
        </w:rPr>
        <w:t>单位住房公积金支出</w:t>
      </w:r>
      <w:r>
        <w:rPr>
          <w:rFonts w:hint="eastAsia" w:ascii="仿宋_GB2312" w:hAnsi="仿宋_GB2312" w:eastAsia="仿宋_GB2312" w:cs="仿宋_GB2312"/>
          <w:sz w:val="32"/>
          <w:szCs w:val="32"/>
          <w:lang w:eastAsia="zh-CN"/>
        </w:rPr>
        <w:t>，已全部用于本年度</w:t>
      </w:r>
      <w:r>
        <w:rPr>
          <w:rFonts w:hint="eastAsia" w:ascii="仿宋_GB2312" w:hAnsi="仿宋_GB2312" w:eastAsia="仿宋_GB2312" w:cs="仿宋_GB2312"/>
          <w:sz w:val="32"/>
          <w:szCs w:val="32"/>
          <w:lang w:val="en-US" w:eastAsia="zh-CN"/>
        </w:rPr>
        <w:t>住房公积金缴纳</w:t>
      </w:r>
      <w:r>
        <w:rPr>
          <w:rFonts w:hint="eastAsia" w:ascii="仿宋_GB2312" w:hAnsi="仿宋_GB2312" w:eastAsia="仿宋_GB2312" w:cs="仿宋_GB2312"/>
          <w:sz w:val="32"/>
          <w:szCs w:val="32"/>
          <w:lang w:eastAsia="zh-CN"/>
        </w:rPr>
        <w:t>，故决算数与预算数一致。</w:t>
      </w:r>
    </w:p>
    <w:p w14:paraId="0311355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EDC6F0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960.01</w:t>
      </w:r>
      <w:r>
        <w:rPr>
          <w:rFonts w:hint="eastAsia" w:ascii="仿宋_GB2312" w:hAnsi="仿宋_GB2312" w:eastAsia="仿宋_GB2312" w:cs="仿宋_GB2312"/>
          <w:sz w:val="32"/>
          <w:szCs w:val="32"/>
        </w:rPr>
        <w:t>万元，其中：</w:t>
      </w:r>
    </w:p>
    <w:p w14:paraId="2F184BA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862.53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89.85</w:t>
      </w:r>
      <w:r>
        <w:rPr>
          <w:rFonts w:hint="eastAsia" w:ascii="仿宋_GB2312" w:hAnsi="仿宋_GB2312" w:eastAsia="仿宋_GB2312" w:cs="仿宋_GB2312"/>
          <w:sz w:val="32"/>
          <w:szCs w:val="32"/>
        </w:rPr>
        <w:t>%,主要包括基本工资、津贴补贴、奖金、伙食补助费、绩效工资、机关事业单位基本养老保险缴费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职工基本医疗保险缴费、其他社会保障缴费、住房公积金、医疗费、离休费、退休费、抚恤金、生活补助、医疗</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rPr>
        <w:t>补助、奖励金、其他对个人和家庭的补助。</w:t>
      </w:r>
    </w:p>
    <w:p w14:paraId="276F500A">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97.48</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10.15</w:t>
      </w:r>
      <w:r>
        <w:rPr>
          <w:rFonts w:hint="eastAsia" w:ascii="仿宋_GB2312" w:hAnsi="仿宋_GB2312" w:eastAsia="仿宋_GB2312" w:cs="仿宋_GB2312"/>
          <w:sz w:val="32"/>
          <w:szCs w:val="32"/>
        </w:rPr>
        <w:t>%，主要包括办公费、印刷费、水费、电费、</w:t>
      </w:r>
      <w:r>
        <w:rPr>
          <w:rFonts w:hint="eastAsia" w:ascii="仿宋_GB2312" w:hAnsi="仿宋_GB2312" w:eastAsia="仿宋_GB2312" w:cs="仿宋_GB2312"/>
          <w:sz w:val="32"/>
          <w:szCs w:val="32"/>
          <w:lang w:eastAsia="zh-CN"/>
        </w:rPr>
        <w:t>邮电费、</w:t>
      </w:r>
      <w:r>
        <w:rPr>
          <w:rFonts w:hint="eastAsia" w:ascii="仿宋_GB2312" w:hAnsi="仿宋_GB2312" w:eastAsia="仿宋_GB2312" w:cs="仿宋_GB2312"/>
          <w:sz w:val="32"/>
          <w:szCs w:val="32"/>
        </w:rPr>
        <w:t>差旅费、维修（护）费、</w:t>
      </w:r>
      <w:r>
        <w:rPr>
          <w:rFonts w:hint="eastAsia" w:ascii="仿宋_GB2312" w:hAnsi="仿宋_GB2312" w:eastAsia="仿宋_GB2312" w:cs="仿宋_GB2312"/>
          <w:sz w:val="32"/>
          <w:szCs w:val="32"/>
          <w:lang w:eastAsia="zh-CN"/>
        </w:rPr>
        <w:t>培训费</w:t>
      </w:r>
      <w:r>
        <w:rPr>
          <w:rFonts w:hint="eastAsia" w:ascii="仿宋_GB2312" w:hAnsi="仿宋_GB2312" w:eastAsia="仿宋_GB2312" w:cs="仿宋_GB2312"/>
          <w:sz w:val="32"/>
          <w:szCs w:val="32"/>
        </w:rPr>
        <w:t>、公务接待费、劳务费、</w:t>
      </w:r>
      <w:r>
        <w:rPr>
          <w:rFonts w:hint="eastAsia" w:ascii="仿宋_GB2312" w:hAnsi="仿宋_GB2312" w:eastAsia="仿宋_GB2312" w:cs="仿宋_GB2312"/>
          <w:sz w:val="32"/>
          <w:szCs w:val="32"/>
          <w:lang w:eastAsia="zh-CN"/>
        </w:rPr>
        <w:t>委托业务费、</w:t>
      </w:r>
      <w:r>
        <w:rPr>
          <w:rFonts w:hint="eastAsia" w:ascii="仿宋_GB2312" w:hAnsi="仿宋_GB2312" w:eastAsia="仿宋_GB2312" w:cs="仿宋_GB2312"/>
          <w:sz w:val="32"/>
          <w:szCs w:val="32"/>
        </w:rPr>
        <w:t>工会经费、福利费、公务用车运行维护费、其他交通费用、税金及附加费用、其他商品和服务支出、信息网络及软件购置更新。</w:t>
      </w:r>
    </w:p>
    <w:p w14:paraId="3AE6480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69CA77A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000000"/>
          <w:kern w:val="0"/>
          <w:sz w:val="32"/>
          <w:szCs w:val="32"/>
          <w:highlight w:val="none"/>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2B5530E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7F0B600D">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3A4382F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03759240">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2CBD3A9C">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30.33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25.21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厉行节约，严控“三公”经费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厉行节约，严控“三公”经费</w:t>
      </w:r>
      <w:r>
        <w:rPr>
          <w:rFonts w:ascii="Times New Roman" w:hAnsi="Times New Roman" w:eastAsia="仿宋_GB2312" w:cs="Times New Roman"/>
          <w:sz w:val="32"/>
          <w:szCs w:val="32"/>
        </w:rPr>
        <w:t>。</w:t>
      </w:r>
    </w:p>
    <w:p w14:paraId="682C4BDC">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54E20E7D">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因公出国（境）费支出预算为0万元，支出决算为0万元，决算数等于预算数，主要原因是我单位严格按预算执行决算；与上年一致，无增减变动，主要原因是未安排因公出国（境）活动。202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年度安排因公出国（境）团组0个，累计0人次。</w:t>
      </w:r>
    </w:p>
    <w:p w14:paraId="2D28802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1.31</w:t>
      </w:r>
      <w:r>
        <w:rPr>
          <w:rFonts w:ascii="Times New Roman" w:hAnsi="Times New Roman" w:eastAsia="仿宋_GB2312" w:cs="Times New Roman"/>
          <w:sz w:val="32"/>
          <w:szCs w:val="32"/>
        </w:rPr>
        <w:t>%。其中：</w:t>
      </w:r>
    </w:p>
    <w:p w14:paraId="443FDC4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决算数等于预算数，主要原因是我单位严格按预算执行决算；与上年一致，无增减变动，主要原因是两年均未购置公务用车。本单位本级及二级机构更新公务用车0辆。</w:t>
      </w:r>
    </w:p>
    <w:p w14:paraId="0F322BF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2.26</w:t>
      </w:r>
      <w:r>
        <w:rPr>
          <w:rFonts w:ascii="Times New Roman" w:hAnsi="Times New Roman" w:eastAsia="仿宋_GB2312" w:cs="Times New Roman"/>
          <w:sz w:val="32"/>
          <w:szCs w:val="32"/>
        </w:rPr>
        <w:t>万元，</w:t>
      </w:r>
    </w:p>
    <w:p w14:paraId="29BFCE0C">
      <w:pPr>
        <w:pStyle w:val="16"/>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公车油料费、公车维修费、公车保险费、过桥过路费等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45.2</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厉行节约，严格控制公务用车运行维护费支出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厉行节约，严格控制公务用车运行维护费支出</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70EFCE2A">
      <w:pPr>
        <w:numPr>
          <w:ilvl w:val="0"/>
          <w:numId w:val="0"/>
        </w:numPr>
        <w:ind w:firstLine="320" w:firstLineChars="1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11.75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65.44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厉行节约，严格控制公务接待费用支出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厉行节约，严格控制公务接待费用支出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省供销社来岳调研</w:t>
      </w:r>
      <w:r>
        <w:rPr>
          <w:rFonts w:ascii="Times New Roman" w:hAnsi="Times New Roman" w:eastAsia="仿宋_GB2312" w:cs="Times New Roman"/>
          <w:sz w:val="32"/>
          <w:szCs w:val="32"/>
        </w:rPr>
        <w:t>发生的接待支出。</w:t>
      </w:r>
    </w:p>
    <w:p w14:paraId="6F29FE2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775A7876">
      <w:pPr>
        <w:pStyle w:val="16"/>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97.48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比年初预算数减少</w:t>
      </w:r>
      <w:r>
        <w:rPr>
          <w:rFonts w:hint="eastAsia" w:ascii="仿宋_GB2312" w:hAnsi="仿宋_GB2312" w:eastAsia="仿宋_GB2312" w:cs="仿宋_GB2312"/>
          <w:sz w:val="32"/>
          <w:szCs w:val="32"/>
          <w:highlight w:val="none"/>
          <w:lang w:val="en-US" w:eastAsia="zh-CN"/>
        </w:rPr>
        <w:t>17.96</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15.56</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比上年决算数减少18.42万元，降低15.89%。</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val="en-US" w:eastAsia="zh-CN"/>
        </w:rPr>
        <w:t>落实过紧日子要求，厉行节约，压减机关运行经费支出。</w:t>
      </w:r>
    </w:p>
    <w:p w14:paraId="1ABC8A64">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490B890F">
      <w:pPr>
        <w:pStyle w:val="16"/>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年度，会议费年初预算3万元，支出决算为0万元，完成年初预算的0%，本年度未举办会议。</w:t>
      </w:r>
    </w:p>
    <w:p w14:paraId="6919C32B">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培训费年初预算0元，支出决算为0.33万元，</w:t>
      </w:r>
      <w:r>
        <w:rPr>
          <w:rFonts w:hint="eastAsia" w:ascii="仿宋_GB2312" w:hAnsi="仿宋_GB2312" w:eastAsia="仿宋_GB2312" w:cs="仿宋_GB2312"/>
          <w:sz w:val="32"/>
          <w:szCs w:val="32"/>
          <w:lang w:val="en-US" w:eastAsia="zh-CN"/>
        </w:rPr>
        <w:t>由于预算数为0，无法计算完成年初预算的百</w:t>
      </w:r>
      <w:r>
        <w:rPr>
          <w:rFonts w:hint="eastAsia" w:ascii="仿宋_GB2312" w:hAnsi="仿宋_GB2312" w:eastAsia="仿宋_GB2312" w:cs="仿宋_GB2312"/>
          <w:color w:val="000000"/>
          <w:kern w:val="0"/>
          <w:sz w:val="32"/>
          <w:szCs w:val="32"/>
          <w:lang w:val="en-US" w:eastAsia="zh-CN" w:bidi="ar-SA"/>
        </w:rPr>
        <w:t>分比。用于开展青年理论学习培训和参加内审培训，人数共15人，内容为青年理论学习培训和内审知识培训。</w:t>
      </w:r>
    </w:p>
    <w:p w14:paraId="2ADB821F">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举办节庆、晚会、论坛、赛事活动年初预算0万元，支出决算为0万元，本单位无举办节庆、晚会、论坛、赛事等活动的预算和支出决算数，无举办节庆、晚会、论坛、赛事等活动。</w:t>
      </w:r>
    </w:p>
    <w:p w14:paraId="0D0A0DF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309A41F8">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本部门2025年度政府采购支出总额0万元，其中：政府采购货物支出0万元、政府采购工程支出0万元、政府采购服务支出0万元。授予中小企业合同金额0万元（由于政府采购支出总额为0，故无法计算占政府采购支出总额的比重），其中：授予小微企业合同金额0万元（由于授予中小企业合同金额为0，故无法计算占授予中小企业合同金额的比重）。货物采购授予中小企业合同金额占货物支出金额的比重，工程采购授予中小企业合同金额占工程支出金额的比重，服务采购授予中小企业合同金额占服务支出金额的比重，由于以上各项合同金额为0，故无法计算各项占比。</w:t>
      </w:r>
    </w:p>
    <w:p w14:paraId="5CE0255A">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2F2C93E8">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共有车辆1辆，其中，副部（省）级及以上领导用车0辆、主要负责人用车0辆、机要通信用车0辆、应急保障用车1辆、执法执勤用车0辆、特种专业技术用车0辆、离退休干部服务用车0辆、其他用车0辆；单位价值100万元以上设备（不含车辆）0台（套）。</w:t>
      </w:r>
    </w:p>
    <w:p w14:paraId="1E658F99">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191BA2E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C360C5F">
      <w:pPr>
        <w:pStyle w:val="17"/>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170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170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15.04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hint="eastAsia" w:ascii="Times New Roman" w:hAnsi="Times New Roman" w:eastAsia="仿宋_GB2312" w:cs="Times New Roman"/>
          <w:kern w:val="0"/>
          <w:sz w:val="32"/>
          <w:szCs w:val="32"/>
          <w:lang w:val="en-US" w:eastAsia="zh-CN"/>
        </w:rPr>
        <w:t>无法计算占</w:t>
      </w:r>
      <w:r>
        <w:rPr>
          <w:rFonts w:ascii="Times New Roman" w:hAnsi="Times New Roman" w:eastAsia="仿宋_GB2312" w:cs="Times New Roman"/>
          <w:kern w:val="0"/>
          <w:sz w:val="32"/>
          <w:szCs w:val="32"/>
        </w:rPr>
        <w:t>政府性基金预算</w:t>
      </w:r>
      <w:r>
        <w:rPr>
          <w:rFonts w:hint="eastAsia" w:ascii="Times New Roman" w:hAnsi="Times New Roman" w:eastAsia="仿宋_GB2312" w:cs="Times New Roman"/>
          <w:kern w:val="0"/>
          <w:sz w:val="32"/>
          <w:szCs w:val="32"/>
          <w:lang w:val="en-US" w:eastAsia="zh-CN"/>
        </w:rPr>
        <w:t>支出总额的百分比</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无法计算</w:t>
      </w:r>
      <w:r>
        <w:rPr>
          <w:rFonts w:ascii="Times New Roman" w:hAnsi="Times New Roman" w:eastAsia="仿宋_GB2312" w:cs="Times New Roman"/>
          <w:kern w:val="0"/>
          <w:sz w:val="32"/>
          <w:szCs w:val="32"/>
        </w:rPr>
        <w:t>占国有资本经营预算支出总额的</w:t>
      </w:r>
      <w:r>
        <w:rPr>
          <w:rFonts w:hint="eastAsia" w:ascii="Times New Roman" w:hAnsi="Times New Roman" w:eastAsia="仿宋_GB2312" w:cs="Times New Roman"/>
          <w:kern w:val="0"/>
          <w:sz w:val="32"/>
          <w:szCs w:val="32"/>
          <w:lang w:val="en-US" w:eastAsia="zh-CN"/>
        </w:rPr>
        <w:t>百分比</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kern w:val="0"/>
          <w:sz w:val="32"/>
          <w:szCs w:val="32"/>
          <w:highlight w:val="none"/>
          <w:lang w:val="en-US" w:eastAsia="zh-CN"/>
        </w:rPr>
        <w:t>无法计算</w:t>
      </w:r>
      <w:r>
        <w:rPr>
          <w:rFonts w:ascii="Times New Roman" w:hAnsi="Times New Roman" w:eastAsia="仿宋_GB2312" w:cs="Times New Roman"/>
          <w:kern w:val="0"/>
          <w:sz w:val="32"/>
          <w:szCs w:val="32"/>
          <w:highlight w:val="none"/>
        </w:rPr>
        <w:t>占社会保险基金预算支出总额的</w:t>
      </w:r>
      <w:r>
        <w:rPr>
          <w:rFonts w:hint="eastAsia" w:ascii="Times New Roman" w:hAnsi="Times New Roman" w:eastAsia="仿宋_GB2312" w:cs="Times New Roman"/>
          <w:kern w:val="0"/>
          <w:sz w:val="32"/>
          <w:szCs w:val="32"/>
          <w:highlight w:val="none"/>
          <w:lang w:val="en-US" w:eastAsia="zh-CN"/>
        </w:rPr>
        <w:t>百分比</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eastAsia="zh-CN"/>
        </w:rPr>
        <w:t>（</w:t>
      </w:r>
      <w:r>
        <w:rPr>
          <w:rFonts w:hint="eastAsia" w:ascii="Times New Roman" w:hAnsi="Times New Roman" w:eastAsia="仿宋_GB2312" w:cs="Times New Roman"/>
          <w:kern w:val="0"/>
          <w:sz w:val="32"/>
          <w:szCs w:val="32"/>
          <w:lang w:val="en-US" w:eastAsia="zh-CN" w:bidi="ar-SA"/>
        </w:rPr>
        <w:t>岳阳市县域流通综合体建设项目80万元为省级专项资金，已按省级要求另外开展了绩效评价，不纳入此次绩效自评范围。</w:t>
      </w:r>
      <w:r>
        <w:rPr>
          <w:rFonts w:hint="eastAsia" w:ascii="Times New Roman" w:hAnsi="Times New Roman" w:eastAsia="仿宋_GB2312" w:cs="Times New Roman"/>
          <w:kern w:val="0"/>
          <w:sz w:val="32"/>
          <w:szCs w:val="32"/>
          <w:highlight w:val="none"/>
          <w:lang w:eastAsia="zh-CN"/>
        </w:rPr>
        <w:t>）</w:t>
      </w:r>
    </w:p>
    <w:p w14:paraId="6605BE72">
      <w:pPr>
        <w:spacing w:line="600" w:lineRule="exact"/>
        <w:ind w:firstLine="640" w:firstLineChars="200"/>
        <w:rPr>
          <w:rFonts w:ascii="Times New Roman" w:hAnsi="Times New Roman" w:eastAsia="仿宋_GB2312" w:cs="Times New Roman"/>
          <w:kern w:val="0"/>
          <w:sz w:val="32"/>
          <w:szCs w:val="32"/>
          <w:lang w:val="en-US" w:eastAsia="zh-CN" w:bidi="ar-SA"/>
        </w:rPr>
      </w:pPr>
      <w:r>
        <w:rPr>
          <w:rFonts w:ascii="Times New Roman" w:hAnsi="Times New Roman" w:eastAsia="仿宋_GB2312" w:cs="Times New Roman"/>
          <w:kern w:val="0"/>
          <w:sz w:val="32"/>
          <w:szCs w:val="32"/>
          <w:lang w:val="en-US" w:eastAsia="zh-CN" w:bidi="ar-SA"/>
        </w:rPr>
        <w:t>本年度，本单位严格对照年初设定的支出绩效目标，扎实推进各项业务工作，预算资金管理规范有序，资产管理持续加强，较好完成各项产出任务并取得预期效益。围绕单位职责和行业发展规划，从运行成本、管理效率、履职效能、社会效应、可持续发展能力及服务对象满意度等方面综合衡量，单位整体及核心业务实施效果良好，财政资金使用效益得到有效发挥。</w:t>
      </w:r>
      <w:r>
        <w:rPr>
          <w:rFonts w:hint="eastAsia" w:eastAsia="仿宋_GB2312"/>
          <w:color w:val="000000"/>
          <w:sz w:val="32"/>
          <w:szCs w:val="32"/>
          <w:lang w:val="en-US" w:eastAsia="zh-CN"/>
        </w:rPr>
        <w:t>根据部门整体支出绩</w:t>
      </w:r>
      <w:r>
        <w:rPr>
          <w:rFonts w:hint="eastAsia" w:eastAsia="仿宋_GB2312" w:cs="Times New Roman"/>
          <w:color w:val="000000"/>
          <w:sz w:val="32"/>
          <w:szCs w:val="32"/>
          <w:lang w:val="en-US" w:eastAsia="zh-CN"/>
        </w:rPr>
        <w:t>效自评表自评得分98.9分，绩效自评结果为“优”。</w:t>
      </w:r>
    </w:p>
    <w:p w14:paraId="4D6C8034">
      <w:pPr>
        <w:pStyle w:val="17"/>
        <w:keepNext w:val="0"/>
        <w:keepLines w:val="0"/>
        <w:pageBreakBefore w:val="0"/>
        <w:widowControl/>
        <w:numPr>
          <w:numId w:val="0"/>
        </w:numPr>
        <w:kinsoku/>
        <w:wordWrap/>
        <w:overflowPunct/>
        <w:topLinePunct w:val="0"/>
        <w:autoSpaceDE/>
        <w:autoSpaceDN/>
        <w:bidi w:val="0"/>
        <w:adjustRightInd/>
        <w:snapToGrid/>
        <w:spacing w:line="560" w:lineRule="exact"/>
        <w:ind w:leftChars="200" w:firstLine="320" w:firstLineChars="100"/>
        <w:jc w:val="both"/>
        <w:textAlignment w:val="auto"/>
        <w:rPr>
          <w:rFonts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lang w:val="en-US" w:eastAsia="zh-CN"/>
        </w:rPr>
        <w:t>2.</w:t>
      </w:r>
      <w:r>
        <w:rPr>
          <w:rFonts w:ascii="Times New Roman" w:hAnsi="Times New Roman" w:eastAsia="仿宋_GB2312" w:cs="Times New Roman"/>
          <w:b/>
          <w:bCs/>
          <w:kern w:val="0"/>
          <w:sz w:val="32"/>
          <w:szCs w:val="32"/>
        </w:rPr>
        <w:t>部门评价开展情况。</w:t>
      </w:r>
    </w:p>
    <w:p w14:paraId="10315FDA">
      <w:pPr>
        <w:pStyle w:val="17"/>
        <w:keepNext w:val="0"/>
        <w:keepLines w:val="0"/>
        <w:pageBreakBefore w:val="0"/>
        <w:widowControl/>
        <w:numPr>
          <w:ilvl w:val="0"/>
          <w:numId w:val="0"/>
        </w:numPr>
        <w:kinsoku/>
        <w:wordWrap/>
        <w:overflowPunct/>
        <w:topLinePunct w:val="0"/>
        <w:autoSpaceDE/>
        <w:autoSpaceDN/>
        <w:bidi w:val="0"/>
        <w:adjustRightInd/>
        <w:snapToGrid/>
        <w:spacing w:line="560" w:lineRule="exact"/>
        <w:ind w:leftChars="200" w:firstLine="320" w:firstLineChars="100"/>
        <w:jc w:val="both"/>
        <w:textAlignment w:val="auto"/>
        <w:rPr>
          <w:rFonts w:ascii="Times New Roman" w:hAnsi="Times New Roman" w:eastAsia="仿宋_GB2312" w:cs="Times New Roman"/>
          <w:kern w:val="0"/>
          <w:sz w:val="32"/>
          <w:szCs w:val="32"/>
          <w:lang w:val="en-US" w:eastAsia="zh-CN" w:bidi="ar-SA"/>
        </w:rPr>
      </w:pPr>
      <w:r>
        <w:rPr>
          <w:rFonts w:hint="eastAsia" w:ascii="Calibri" w:hAnsi="Calibri" w:eastAsia="仿宋_GB2312" w:cs="Times New Roman"/>
          <w:b w:val="0"/>
          <w:bCs w:val="0"/>
          <w:color w:val="auto"/>
          <w:kern w:val="2"/>
          <w:sz w:val="32"/>
          <w:szCs w:val="32"/>
          <w:lang w:val="en-US" w:eastAsia="zh-CN" w:bidi="ar-SA"/>
        </w:rPr>
        <w:t>本单位及所属单位本年度未开展部门评价。</w:t>
      </w:r>
    </w:p>
    <w:p w14:paraId="4CC8148A">
      <w:pPr>
        <w:overflowPunct w:val="0"/>
        <w:spacing w:line="600" w:lineRule="exact"/>
        <w:ind w:firstLine="640" w:firstLineChars="200"/>
        <w:rPr>
          <w:rFonts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lang w:val="en-US" w:eastAsia="zh-CN"/>
        </w:rPr>
        <w:t>3.</w:t>
      </w:r>
      <w:r>
        <w:rPr>
          <w:rFonts w:ascii="Times New Roman" w:hAnsi="Times New Roman" w:eastAsia="仿宋_GB2312" w:cs="Times New Roman"/>
          <w:b/>
          <w:bCs/>
          <w:kern w:val="0"/>
          <w:sz w:val="32"/>
          <w:szCs w:val="32"/>
        </w:rPr>
        <w:t>事前绩效评估开展情况</w:t>
      </w:r>
    </w:p>
    <w:p w14:paraId="375593B0">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color w:val="auto"/>
          <w:kern w:val="0"/>
          <w:sz w:val="32"/>
          <w:szCs w:val="32"/>
          <w:lang w:val="en-US" w:eastAsia="zh-CN"/>
        </w:rPr>
        <w:t>本单位及所属单位本年度未新增重大政策和重大项目，所以无事前绩效评估开展情况。</w:t>
      </w:r>
    </w:p>
    <w:p w14:paraId="5559F1B8">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290005A5">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Calibri" w:hAnsi="Calibri" w:eastAsia="仿宋_GB2312" w:cs="Times New Roman"/>
          <w:color w:val="auto"/>
          <w:kern w:val="2"/>
          <w:sz w:val="32"/>
          <w:szCs w:val="32"/>
          <w:lang w:val="en-US" w:eastAsia="zh-CN" w:bidi="ar-SA"/>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1141.26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1140.8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99.96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”。绩效目标完成情况：一是</w:t>
      </w:r>
      <w:r>
        <w:rPr>
          <w:rFonts w:hint="eastAsia" w:eastAsia="仿宋_GB2312" w:cs="Times New Roman"/>
          <w:color w:val="auto"/>
          <w:kern w:val="2"/>
          <w:sz w:val="32"/>
          <w:szCs w:val="32"/>
          <w:lang w:val="en-US" w:eastAsia="zh-CN" w:bidi="ar-SA"/>
        </w:rPr>
        <w:t>扎实开展各项工作，</w:t>
      </w:r>
      <w:r>
        <w:rPr>
          <w:rFonts w:hint="eastAsia" w:ascii="Calibri" w:hAnsi="Calibri" w:eastAsia="仿宋_GB2312" w:cs="Times New Roman"/>
          <w:color w:val="auto"/>
          <w:kern w:val="2"/>
          <w:sz w:val="32"/>
          <w:szCs w:val="32"/>
          <w:lang w:val="en-US" w:eastAsia="zh-CN" w:bidi="ar-SA"/>
        </w:rPr>
        <w:t>以示范引领为抓手，抓实强基强能。对标全国总社“千县千社质量提升行动”和省社三年“筑基”行动，高标准实施基层社建设“114”工程。与烟草、交通、邮政部门对接合作，7家基层社建成636烟草旗舰店，15家基层社整合“客货邮”资源。2025年一共打造全国总社标杆社7家、市级示范社90家、基层规范化社180家，在5个街道设立了供销社，登记注册的村级供销社306家，数量与质量继续领跑全省。二是坚决扛起农资保供的政治责任，圆满完成2024-2025年度农资淡储任务，春耕期间全市供销系统农资供应量占社会需求量的45%以上。三是扎实推进市级消费帮扶和西藏桑日县、湘西保靖县对口消费帮扶工作，与桑日县人民政府签订合作协议，组织市直单位工会负责人赴保靖调研农产品，将“供销大集”开进“湘超”赛场，促进全市系统完成消费帮扶任务近5000万元。</w:t>
      </w:r>
    </w:p>
    <w:p w14:paraId="7B5FBF1A">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Calibri" w:hAnsi="Calibri" w:eastAsia="仿宋_GB2312" w:cs="Times New Roman"/>
          <w:color w:val="auto"/>
          <w:kern w:val="2"/>
          <w:sz w:val="32"/>
          <w:szCs w:val="32"/>
          <w:lang w:val="en-US" w:eastAsia="zh-CN" w:bidi="ar-SA"/>
        </w:rPr>
      </w:pPr>
      <w:r>
        <w:rPr>
          <w:rFonts w:hint="eastAsia" w:ascii="Calibri" w:hAnsi="Calibri" w:eastAsia="仿宋_GB2312" w:cs="Times New Roman"/>
          <w:color w:val="auto"/>
          <w:kern w:val="2"/>
          <w:sz w:val="32"/>
          <w:szCs w:val="32"/>
          <w:lang w:val="en-US" w:eastAsia="zh-CN" w:bidi="ar-SA"/>
        </w:rPr>
        <w:t>发现的主要问题及原因：一是预算编制前瞻性不足，部分项目绩效指标设置偏笼统，预算执行与绩效目标动态联动不够，个别项目支出进度不均衡，存在绩效跟踪管控不够及时的情况，主要是项目前期调研论证不够充分，全过程绩效监控力度有待加强。二是资产管理精细化程度有待提升，资产使用效益挖掘不充分，政府采购事前绩效研判不够深入；日常财务、业务融合不够紧密，绩效结果运用不够充分，绩效评价成果未能充分用于后续预算安排。</w:t>
      </w:r>
    </w:p>
    <w:p w14:paraId="52A7167C">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kern w:val="0"/>
          <w:sz w:val="32"/>
          <w:szCs w:val="32"/>
          <w:lang w:eastAsia="zh-CN"/>
        </w:rPr>
      </w:pPr>
      <w:r>
        <w:rPr>
          <w:rFonts w:hint="eastAsia" w:ascii="Calibri" w:hAnsi="Calibri" w:eastAsia="仿宋_GB2312" w:cs="Times New Roman"/>
          <w:color w:val="auto"/>
          <w:kern w:val="2"/>
          <w:sz w:val="32"/>
          <w:szCs w:val="32"/>
          <w:lang w:val="en-US" w:eastAsia="zh-CN" w:bidi="ar-SA"/>
        </w:rPr>
        <w:t>下一步改进措施：一是做实预算绩效管理，强化项目前期论证，科学合理设定绩效目标与量化指标，加强预算执行全过程绩效监控</w:t>
      </w:r>
      <w:r>
        <w:rPr>
          <w:rFonts w:hint="eastAsia" w:ascii="Calibri" w:hAnsi="Calibri" w:eastAsia="仿宋_GB2312" w:cs="Times New Roman"/>
          <w:b w:val="0"/>
          <w:bCs w:val="0"/>
          <w:color w:val="auto"/>
          <w:kern w:val="2"/>
          <w:sz w:val="32"/>
          <w:szCs w:val="32"/>
          <w:lang w:val="en-US" w:eastAsia="zh-CN" w:bidi="ar-SA"/>
        </w:rPr>
        <w:t>，及时纠偏执行偏差，强化绩效评价结果应用，将绩效情况作为下年度预算安排重要依据。二是规范资产、财务及政府采购管理，健全资产台账，盘活存量资产，提升资产使用效率；严格政府采购程序，推动业务与财务深度融合，持续提升部门履职效能和财政资金使用效益。</w:t>
      </w:r>
    </w:p>
    <w:p w14:paraId="424E49B8">
      <w:pPr>
        <w:numPr>
          <w:ilvl w:val="0"/>
          <w:numId w:val="0"/>
        </w:num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b/>
          <w:bCs/>
          <w:kern w:val="0"/>
          <w:sz w:val="32"/>
          <w:szCs w:val="32"/>
          <w:lang w:eastAsia="zh-CN"/>
        </w:rPr>
        <w:t>。</w:t>
      </w:r>
      <w:r>
        <w:rPr>
          <w:rFonts w:hint="eastAsia" w:ascii="Calibri" w:hAnsi="Calibri" w:eastAsia="仿宋_GB2312" w:cs="Times New Roman"/>
          <w:b w:val="0"/>
          <w:bCs w:val="0"/>
          <w:color w:val="auto"/>
          <w:kern w:val="2"/>
          <w:sz w:val="32"/>
          <w:szCs w:val="32"/>
          <w:lang w:val="en-US" w:eastAsia="zh-CN" w:bidi="ar-SA"/>
        </w:rPr>
        <w:t>本单位及所属单位本年度未开展部门评价，所以无部门评价结果。</w:t>
      </w:r>
    </w:p>
    <w:p w14:paraId="5C99DC42">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b/>
          <w:bCs/>
          <w:kern w:val="0"/>
          <w:sz w:val="32"/>
          <w:szCs w:val="32"/>
          <w:lang w:val="en-US" w:eastAsia="zh-CN"/>
        </w:rPr>
        <w:t>3.事前绩效评估结果。</w:t>
      </w:r>
      <w:r>
        <w:rPr>
          <w:rFonts w:hint="eastAsia" w:ascii="Times New Roman" w:hAnsi="Times New Roman" w:eastAsia="仿宋_GB2312" w:cs="Times New Roman"/>
          <w:b w:val="0"/>
          <w:bCs w:val="0"/>
          <w:kern w:val="0"/>
          <w:sz w:val="32"/>
          <w:szCs w:val="32"/>
          <w:highlight w:val="none"/>
          <w:lang w:val="en-US" w:eastAsia="zh-CN"/>
        </w:rPr>
        <w:t>本单位及所属单位本年度未开展事前绩效评估，所以无事前绩效评估结果。</w:t>
      </w:r>
    </w:p>
    <w:p w14:paraId="1B89FFB0">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1F4605B4">
      <w:pPr>
        <w:autoSpaceDE w:val="0"/>
        <w:autoSpaceDN w:val="0"/>
        <w:adjustRightInd w:val="0"/>
        <w:ind w:firstLine="640" w:firstLineChars="200"/>
        <w:jc w:val="left"/>
        <w:rPr>
          <w:rFonts w:hint="eastAsia" w:ascii="Calibri" w:hAnsi="Calibri" w:eastAsia="仿宋_GB2312" w:cs="Times New Roman"/>
          <w:b w:val="0"/>
          <w:bCs w:val="0"/>
          <w:color w:val="auto"/>
          <w:kern w:val="2"/>
          <w:sz w:val="32"/>
          <w:szCs w:val="32"/>
          <w:lang w:val="en-US" w:eastAsia="zh-CN" w:bidi="ar-SA"/>
        </w:rPr>
      </w:pPr>
      <w:r>
        <w:rPr>
          <w:rFonts w:hint="eastAsia" w:ascii="Calibri" w:hAnsi="Calibri" w:eastAsia="仿宋_GB2312" w:cs="Times New Roman"/>
          <w:b w:val="0"/>
          <w:bCs w:val="0"/>
          <w:color w:val="auto"/>
          <w:kern w:val="2"/>
          <w:sz w:val="32"/>
          <w:szCs w:val="32"/>
          <w:lang w:val="en-US" w:eastAsia="zh-CN" w:bidi="ar-SA"/>
        </w:rPr>
        <w:t>本单位严格落实绩效结果运用要求，科学指导 2025 年度预算编制与资金安排。结合各类绩效评价反馈，持续优化预算支出结构，压减低效无效支出，加大重点履职领域保障力度。进一步规范财政资金全过程管理，健全完善预算管理、资金使用、内控管理等制度体系，强化绩效评价结果与预算安排、资金分配、项目实施的刚性挂钩，不断提升财政资源配置效率和资金使用效益。预算绩效管理开展情况、绩效目标和绩效评价报告等，已在市政府部门财政预决算公开平台上向社会公开，详见附件。</w:t>
      </w:r>
    </w:p>
    <w:p w14:paraId="1797325E">
      <w:pPr>
        <w:pStyle w:val="9"/>
        <w:rPr>
          <w:rFonts w:hint="eastAsia"/>
          <w:lang w:val="en-US" w:eastAsia="zh-CN"/>
        </w:rPr>
      </w:pPr>
    </w:p>
    <w:p w14:paraId="033053C3">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299CD44C">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0FB7086B">
      <w:pPr>
        <w:numPr>
          <w:ilvl w:val="0"/>
          <w:numId w:val="0"/>
        </w:numPr>
        <w:autoSpaceDE w:val="0"/>
        <w:autoSpaceDN w:val="0"/>
        <w:adjustRightInd w:val="0"/>
        <w:jc w:val="left"/>
        <w:rPr>
          <w:sz w:val="72"/>
          <w:szCs w:val="72"/>
        </w:rPr>
      </w:pPr>
    </w:p>
    <w:p w14:paraId="0406F273">
      <w:pPr>
        <w:pStyle w:val="16"/>
        <w:jc w:val="both"/>
        <w:rPr>
          <w:rFonts w:hint="eastAsia" w:ascii="方正小标宋_GBK" w:hAnsi="方正小标宋_GBK" w:eastAsia="方正小标宋_GBK" w:cs="方正小标宋_GBK"/>
          <w:sz w:val="24"/>
          <w:szCs w:val="24"/>
        </w:rPr>
      </w:pPr>
    </w:p>
    <w:p w14:paraId="781CA6F9">
      <w:pPr>
        <w:pStyle w:val="16"/>
        <w:jc w:val="center"/>
        <w:rPr>
          <w:rFonts w:hint="eastAsia" w:ascii="方正小标宋_GBK" w:hAnsi="方正小标宋_GBK" w:eastAsia="方正小标宋_GBK" w:cs="方正小标宋_GBK"/>
          <w:sz w:val="72"/>
          <w:szCs w:val="72"/>
        </w:rPr>
      </w:pPr>
    </w:p>
    <w:p w14:paraId="3C76FD80">
      <w:pPr>
        <w:pStyle w:val="16"/>
        <w:jc w:val="center"/>
        <w:rPr>
          <w:rFonts w:hint="eastAsia" w:ascii="方正小标宋_GBK" w:hAnsi="方正小标宋_GBK" w:eastAsia="方正小标宋_GBK" w:cs="方正小标宋_GBK"/>
          <w:sz w:val="72"/>
          <w:szCs w:val="72"/>
        </w:rPr>
      </w:pPr>
    </w:p>
    <w:p w14:paraId="12388585">
      <w:pPr>
        <w:pStyle w:val="16"/>
        <w:jc w:val="center"/>
        <w:rPr>
          <w:rFonts w:hint="eastAsia" w:ascii="方正小标宋_GBK" w:hAnsi="方正小标宋_GBK" w:eastAsia="方正小标宋_GBK" w:cs="方正小标宋_GBK"/>
          <w:sz w:val="72"/>
          <w:szCs w:val="72"/>
        </w:rPr>
      </w:pPr>
    </w:p>
    <w:p w14:paraId="365CA79C">
      <w:pPr>
        <w:pStyle w:val="16"/>
        <w:jc w:val="center"/>
        <w:rPr>
          <w:rFonts w:hint="eastAsia" w:ascii="方正小标宋_GBK" w:hAnsi="方正小标宋_GBK" w:eastAsia="方正小标宋_GBK" w:cs="方正小标宋_GBK"/>
          <w:sz w:val="72"/>
          <w:szCs w:val="72"/>
        </w:rPr>
      </w:pPr>
    </w:p>
    <w:p w14:paraId="510CBED8">
      <w:pPr>
        <w:pStyle w:val="16"/>
        <w:jc w:val="center"/>
        <w:rPr>
          <w:rFonts w:hint="eastAsia" w:ascii="方正小标宋_GBK" w:hAnsi="方正小标宋_GBK" w:eastAsia="方正小标宋_GBK" w:cs="方正小标宋_GBK"/>
          <w:sz w:val="72"/>
          <w:szCs w:val="72"/>
        </w:rPr>
      </w:pPr>
    </w:p>
    <w:p w14:paraId="03AEDDFE">
      <w:pPr>
        <w:pStyle w:val="16"/>
        <w:jc w:val="center"/>
        <w:rPr>
          <w:rFonts w:hint="eastAsia" w:ascii="方正小标宋_GBK" w:hAnsi="方正小标宋_GBK" w:eastAsia="方正小标宋_GBK" w:cs="方正小标宋_GBK"/>
          <w:sz w:val="72"/>
          <w:szCs w:val="72"/>
        </w:rPr>
      </w:pPr>
    </w:p>
    <w:p w14:paraId="37FE550E">
      <w:pPr>
        <w:pStyle w:val="16"/>
        <w:jc w:val="center"/>
        <w:rPr>
          <w:rFonts w:hint="eastAsia" w:ascii="方正小标宋_GBK" w:hAnsi="方正小标宋_GBK" w:eastAsia="方正小标宋_GBK" w:cs="方正小标宋_GBK"/>
          <w:sz w:val="72"/>
          <w:szCs w:val="72"/>
        </w:rPr>
      </w:pPr>
    </w:p>
    <w:p w14:paraId="448DBA81">
      <w:pPr>
        <w:pStyle w:val="16"/>
        <w:jc w:val="center"/>
        <w:rPr>
          <w:rFonts w:hint="eastAsia" w:ascii="方正小标宋_GBK" w:hAnsi="方正小标宋_GBK" w:eastAsia="方正小标宋_GBK" w:cs="方正小标宋_GBK"/>
          <w:sz w:val="72"/>
          <w:szCs w:val="72"/>
        </w:rPr>
      </w:pPr>
    </w:p>
    <w:p w14:paraId="5E8CA1D5">
      <w:pPr>
        <w:pStyle w:val="16"/>
        <w:jc w:val="center"/>
        <w:rPr>
          <w:rFonts w:hint="eastAsia" w:ascii="方正小标宋_GBK" w:hAnsi="方正小标宋_GBK" w:eastAsia="方正小标宋_GBK" w:cs="方正小标宋_GBK"/>
          <w:sz w:val="72"/>
          <w:szCs w:val="72"/>
        </w:rPr>
      </w:pPr>
    </w:p>
    <w:p w14:paraId="37A30602">
      <w:pPr>
        <w:pStyle w:val="16"/>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14:paraId="4410AC82">
      <w:pPr>
        <w:pStyle w:val="16"/>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A993DE0">
      <w:pPr>
        <w:pStyle w:val="9"/>
      </w:pPr>
    </w:p>
    <w:p w14:paraId="6C73E06B">
      <w:pPr>
        <w:pStyle w:val="5"/>
      </w:pPr>
    </w:p>
    <w:p w14:paraId="7BB6C07A"/>
    <w:p w14:paraId="35FA471A">
      <w:pPr>
        <w:pStyle w:val="9"/>
      </w:pPr>
    </w:p>
    <w:p w14:paraId="51FF9A8C">
      <w:pPr>
        <w:pStyle w:val="5"/>
      </w:pPr>
    </w:p>
    <w:p w14:paraId="0CC3E7BF"/>
    <w:p w14:paraId="68357730">
      <w:pPr>
        <w:pStyle w:val="9"/>
      </w:pPr>
    </w:p>
    <w:p w14:paraId="462DBEAB">
      <w:pPr>
        <w:pStyle w:val="5"/>
      </w:pPr>
    </w:p>
    <w:p w14:paraId="675145B1"/>
    <w:p w14:paraId="22CA065A">
      <w:pPr>
        <w:pStyle w:val="9"/>
      </w:pPr>
    </w:p>
    <w:p w14:paraId="1AC34179">
      <w:pPr>
        <w:pStyle w:val="5"/>
      </w:pPr>
    </w:p>
    <w:p w14:paraId="3B0728FC"/>
    <w:p w14:paraId="3077B56D">
      <w:pPr>
        <w:pStyle w:val="9"/>
      </w:pPr>
    </w:p>
    <w:p w14:paraId="2CDA6C45">
      <w:pPr>
        <w:pStyle w:val="5"/>
      </w:pPr>
    </w:p>
    <w:p w14:paraId="7506D516"/>
    <w:p w14:paraId="6BC97AFE">
      <w:pPr>
        <w:pStyle w:val="9"/>
      </w:pPr>
    </w:p>
    <w:p w14:paraId="3EBDE07B">
      <w:pPr>
        <w:ind w:firstLine="640" w:firstLineChars="200"/>
        <w:jc w:val="left"/>
        <w:rPr>
          <w:rFonts w:hint="eastAsia" w:ascii="仿宋_GB2312" w:hAnsi="仿宋_GB2312" w:eastAsia="仿宋_GB2312" w:cs="仿宋_GB2312"/>
          <w:color w:val="000000"/>
          <w:kern w:val="0"/>
          <w:sz w:val="32"/>
          <w:szCs w:val="32"/>
        </w:rPr>
      </w:pPr>
    </w:p>
    <w:p w14:paraId="77AB5124">
      <w:pPr>
        <w:ind w:firstLine="640" w:firstLineChars="200"/>
        <w:jc w:val="left"/>
        <w:rPr>
          <w:rFonts w:hint="eastAsia" w:ascii="仿宋_GB2312" w:hAnsi="仿宋_GB2312" w:eastAsia="仿宋_GB2312" w:cs="仿宋_GB2312"/>
          <w:color w:val="000000"/>
          <w:kern w:val="0"/>
          <w:sz w:val="32"/>
          <w:szCs w:val="32"/>
        </w:rPr>
      </w:pPr>
    </w:p>
    <w:p w14:paraId="3BDF0968">
      <w:pPr>
        <w:ind w:firstLine="640" w:firstLineChars="200"/>
        <w:jc w:val="left"/>
        <w:rPr>
          <w:rFonts w:hint="eastAsia" w:ascii="仿宋_GB2312" w:hAnsi="仿宋_GB2312" w:eastAsia="仿宋_GB2312" w:cs="仿宋_GB2312"/>
          <w:color w:val="000000"/>
          <w:kern w:val="0"/>
          <w:sz w:val="32"/>
          <w:szCs w:val="32"/>
        </w:rPr>
      </w:pPr>
    </w:p>
    <w:p w14:paraId="016E96CA">
      <w:pPr>
        <w:pStyle w:val="9"/>
        <w:rPr>
          <w:rFonts w:hint="eastAsia"/>
        </w:rPr>
      </w:pPr>
    </w:p>
    <w:p w14:paraId="64B63364">
      <w:pPr>
        <w:ind w:firstLine="640" w:firstLineChars="200"/>
        <w:jc w:val="left"/>
        <w:rPr>
          <w:rFonts w:hint="eastAsia" w:ascii="仿宋_GB2312" w:hAnsi="仿宋_GB2312" w:eastAsia="仿宋_GB2312" w:cs="仿宋_GB2312"/>
          <w:color w:val="000000"/>
          <w:kern w:val="0"/>
          <w:sz w:val="32"/>
          <w:szCs w:val="32"/>
        </w:rPr>
      </w:pPr>
    </w:p>
    <w:p w14:paraId="3D6652F3">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876A120">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5480FEC0">
      <w:pPr>
        <w:pStyle w:val="16"/>
        <w:jc w:val="center"/>
        <w:rPr>
          <w:rFonts w:hint="eastAsia" w:ascii="仿宋_GB2312" w:hAnsi="仿宋_GB2312" w:eastAsia="仿宋_GB2312" w:cs="仿宋_GB2312"/>
          <w:sz w:val="32"/>
          <w:szCs w:val="32"/>
        </w:rPr>
      </w:pPr>
    </w:p>
    <w:p w14:paraId="78D54282">
      <w:pPr>
        <w:pStyle w:val="5"/>
      </w:pPr>
    </w:p>
    <w:p w14:paraId="548CC912"/>
    <w:p w14:paraId="4066A98E">
      <w:pPr>
        <w:pStyle w:val="9"/>
      </w:pPr>
    </w:p>
    <w:p w14:paraId="7B508E10">
      <w:pPr>
        <w:pStyle w:val="5"/>
      </w:pPr>
    </w:p>
    <w:p w14:paraId="52F5867D"/>
    <w:p w14:paraId="19952216">
      <w:pPr>
        <w:pStyle w:val="9"/>
      </w:pPr>
    </w:p>
    <w:p w14:paraId="1F8B5D92">
      <w:pPr>
        <w:pStyle w:val="5"/>
      </w:pPr>
    </w:p>
    <w:p w14:paraId="6551D67E"/>
    <w:p w14:paraId="2335AE68">
      <w:pPr>
        <w:pStyle w:val="9"/>
      </w:pPr>
    </w:p>
    <w:p w14:paraId="64E828FB">
      <w:pPr>
        <w:pStyle w:val="5"/>
      </w:pPr>
    </w:p>
    <w:p w14:paraId="3392AB23"/>
    <w:p w14:paraId="5B6A3B04">
      <w:pPr>
        <w:pStyle w:val="9"/>
      </w:pPr>
    </w:p>
    <w:p w14:paraId="010B9DC5">
      <w:pPr>
        <w:pStyle w:val="5"/>
      </w:pPr>
    </w:p>
    <w:p w14:paraId="08161967"/>
    <w:p w14:paraId="3ED83257">
      <w:pPr>
        <w:pStyle w:val="9"/>
      </w:pPr>
    </w:p>
    <w:p w14:paraId="03454CF9">
      <w:pPr>
        <w:pStyle w:val="5"/>
      </w:pPr>
    </w:p>
    <w:p w14:paraId="4A3BEA8B"/>
    <w:p w14:paraId="71A499F9">
      <w:pPr>
        <w:pStyle w:val="9"/>
      </w:pPr>
    </w:p>
    <w:p w14:paraId="5B3386D4">
      <w:pPr>
        <w:pStyle w:val="5"/>
      </w:pPr>
    </w:p>
    <w:p w14:paraId="63B82A76"/>
    <w:p w14:paraId="17B15226"/>
    <w:p w14:paraId="11EB4B4D">
      <w:pPr>
        <w:pStyle w:val="9"/>
      </w:pPr>
    </w:p>
    <w:p w14:paraId="281C2ACC">
      <w:pPr>
        <w:pStyle w:val="16"/>
        <w:jc w:val="both"/>
        <w:rPr>
          <w:rFonts w:hint="eastAsia" w:ascii="方正小标宋_GBK" w:hAnsi="方正小标宋_GBK" w:eastAsia="方正小标宋_GBK" w:cs="方正小标宋_GBK"/>
          <w:sz w:val="72"/>
          <w:szCs w:val="72"/>
        </w:rPr>
      </w:pPr>
    </w:p>
    <w:p w14:paraId="3E4D6A0F">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51C835CE">
      <w:pPr>
        <w:pStyle w:val="16"/>
        <w:jc w:val="both"/>
        <w:rPr>
          <w:rFonts w:hint="eastAsia" w:ascii="方正小标宋_GBK" w:hAnsi="方正小标宋_GBK" w:eastAsia="方正小标宋_GBK" w:cs="方正小标宋_GBK"/>
          <w:sz w:val="70"/>
          <w:szCs w:val="70"/>
          <w:lang w:eastAsia="zh-CN"/>
        </w:rPr>
      </w:pPr>
    </w:p>
    <w:p w14:paraId="581BB5A3">
      <w:pPr>
        <w:pStyle w:val="16"/>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5B9BE796">
      <w:pPr>
        <w:ind w:firstLine="640" w:firstLineChars="200"/>
        <w:jc w:val="left"/>
        <w:rPr>
          <w:rFonts w:hint="eastAsia" w:ascii="宋体" w:hAnsi="宋体" w:eastAsia="宋体" w:cs="黑体"/>
          <w:b/>
          <w:color w:val="000000"/>
          <w:kern w:val="0"/>
          <w:sz w:val="32"/>
          <w:szCs w:val="32"/>
          <w:lang w:val="en-US" w:eastAsia="zh-CN"/>
        </w:rPr>
      </w:pPr>
    </w:p>
    <w:p w14:paraId="1D8338FE">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2110EA04">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3D102D28"/>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C506B1"/>
    <w:rsid w:val="03D52E98"/>
    <w:rsid w:val="059958AD"/>
    <w:rsid w:val="05A957CD"/>
    <w:rsid w:val="05E11832"/>
    <w:rsid w:val="065D1CEE"/>
    <w:rsid w:val="06C857E7"/>
    <w:rsid w:val="08C24A73"/>
    <w:rsid w:val="09C50B41"/>
    <w:rsid w:val="0C526FE5"/>
    <w:rsid w:val="0F29227F"/>
    <w:rsid w:val="0F4946D0"/>
    <w:rsid w:val="0FE53D65"/>
    <w:rsid w:val="10C36AF5"/>
    <w:rsid w:val="11944E2C"/>
    <w:rsid w:val="12521AED"/>
    <w:rsid w:val="12583BA5"/>
    <w:rsid w:val="1279351E"/>
    <w:rsid w:val="13B32A60"/>
    <w:rsid w:val="13BA5B9C"/>
    <w:rsid w:val="17DF4A03"/>
    <w:rsid w:val="1B636386"/>
    <w:rsid w:val="1C1F232B"/>
    <w:rsid w:val="1CD92D71"/>
    <w:rsid w:val="1D97DEFF"/>
    <w:rsid w:val="1DFF72E5"/>
    <w:rsid w:val="1EFC6F07"/>
    <w:rsid w:val="1F0527A6"/>
    <w:rsid w:val="1F5A3B29"/>
    <w:rsid w:val="1FAE0702"/>
    <w:rsid w:val="222B5EB7"/>
    <w:rsid w:val="22AC03C2"/>
    <w:rsid w:val="236505D5"/>
    <w:rsid w:val="23B75C54"/>
    <w:rsid w:val="24575DD2"/>
    <w:rsid w:val="250012F9"/>
    <w:rsid w:val="267211A5"/>
    <w:rsid w:val="283B15FE"/>
    <w:rsid w:val="28E53263"/>
    <w:rsid w:val="29F130EF"/>
    <w:rsid w:val="2A7B3373"/>
    <w:rsid w:val="2CD73F44"/>
    <w:rsid w:val="2FDF85B8"/>
    <w:rsid w:val="2FFFEE04"/>
    <w:rsid w:val="313420AE"/>
    <w:rsid w:val="31C95635"/>
    <w:rsid w:val="32EC51A4"/>
    <w:rsid w:val="33FB66D9"/>
    <w:rsid w:val="34DF85B0"/>
    <w:rsid w:val="35195E09"/>
    <w:rsid w:val="364F61C0"/>
    <w:rsid w:val="37265173"/>
    <w:rsid w:val="3AB94A2A"/>
    <w:rsid w:val="3B6774D0"/>
    <w:rsid w:val="3B8F36BC"/>
    <w:rsid w:val="3CC05722"/>
    <w:rsid w:val="3F8C2233"/>
    <w:rsid w:val="408A64B6"/>
    <w:rsid w:val="40932CF5"/>
    <w:rsid w:val="418C02C8"/>
    <w:rsid w:val="42EB3A3D"/>
    <w:rsid w:val="43EB5BA5"/>
    <w:rsid w:val="445D7FC4"/>
    <w:rsid w:val="44804396"/>
    <w:rsid w:val="457609F4"/>
    <w:rsid w:val="4710374A"/>
    <w:rsid w:val="473B328C"/>
    <w:rsid w:val="47F77F0E"/>
    <w:rsid w:val="491FF225"/>
    <w:rsid w:val="4BFF5A87"/>
    <w:rsid w:val="4C653BF0"/>
    <w:rsid w:val="4CB22BAD"/>
    <w:rsid w:val="4D36558C"/>
    <w:rsid w:val="4E6F0D56"/>
    <w:rsid w:val="4EC310A1"/>
    <w:rsid w:val="4F4A4803"/>
    <w:rsid w:val="4FFD214C"/>
    <w:rsid w:val="51422751"/>
    <w:rsid w:val="5352765A"/>
    <w:rsid w:val="57045604"/>
    <w:rsid w:val="5777D4F5"/>
    <w:rsid w:val="57EBA9D6"/>
    <w:rsid w:val="57F22B6F"/>
    <w:rsid w:val="59DD8326"/>
    <w:rsid w:val="5C100AE1"/>
    <w:rsid w:val="5DEF592A"/>
    <w:rsid w:val="5FC6BB1E"/>
    <w:rsid w:val="5FF720F1"/>
    <w:rsid w:val="622964C1"/>
    <w:rsid w:val="62E430B0"/>
    <w:rsid w:val="63544321"/>
    <w:rsid w:val="63E44CE0"/>
    <w:rsid w:val="67E67E83"/>
    <w:rsid w:val="67FF5C0B"/>
    <w:rsid w:val="6A6D40A5"/>
    <w:rsid w:val="6BAA4A2F"/>
    <w:rsid w:val="6BE20961"/>
    <w:rsid w:val="6C6652CB"/>
    <w:rsid w:val="6DDEC5C0"/>
    <w:rsid w:val="6EFC0924"/>
    <w:rsid w:val="6F12155D"/>
    <w:rsid w:val="6F9E8580"/>
    <w:rsid w:val="6FB74722"/>
    <w:rsid w:val="6FEF8B7E"/>
    <w:rsid w:val="717FE77F"/>
    <w:rsid w:val="71A6591B"/>
    <w:rsid w:val="737D59BA"/>
    <w:rsid w:val="737F32B1"/>
    <w:rsid w:val="73BD3FCA"/>
    <w:rsid w:val="752E0544"/>
    <w:rsid w:val="77284E39"/>
    <w:rsid w:val="776BDA01"/>
    <w:rsid w:val="77C37683"/>
    <w:rsid w:val="78327197"/>
    <w:rsid w:val="79FF515B"/>
    <w:rsid w:val="7A456C8B"/>
    <w:rsid w:val="7B323061"/>
    <w:rsid w:val="7DFBFF20"/>
    <w:rsid w:val="7E4E1E86"/>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3">
    <w:name w:val="Strong"/>
    <w:basedOn w:val="12"/>
    <w:qFormat/>
    <w:uiPriority w:val="22"/>
    <w:rPr>
      <w:b/>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958</Words>
  <Characters>975</Characters>
  <Lines>63</Lines>
  <Paragraphs>18</Paragraphs>
  <TotalTime>6</TotalTime>
  <ScaleCrop>false</ScaleCrop>
  <LinksUpToDate>false</LinksUpToDate>
  <CharactersWithSpaces>989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阮扬</cp:lastModifiedBy>
  <cp:lastPrinted>2026-09-29T07:48:00Z</cp:lastPrinted>
  <dcterms:modified xsi:type="dcterms:W3CDTF">2026-09-30T01:53:43Z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eyJoZGlkIjoiOTJlMzRhYWVhNjZiZjAwNjM0MWEyZDEwZWVkODYyYWQiLCJ1c2VySWQiOiIxNTY4OTg0ODY3In0=</vt:lpwstr>
  </property>
</Properties>
</file>