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rPr>
          <w:rFonts w:hint="eastAsia" w:ascii="黑体" w:hAnsi="黑体" w:eastAsia="黑体" w:cs="黑体"/>
          <w:sz w:val="32"/>
          <w:szCs w:val="32"/>
          <w:highlight w:val="none"/>
          <w:lang w:val="en-US" w:eastAsia="zh-CN"/>
        </w:rPr>
      </w:pP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岳阳市供销合作联社</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lang w:val="en-US" w:eastAsia="zh-CN"/>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岳阳市供销合作联社</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（一）职能职责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（1）宣传、贯彻党和政府及上级供销社有关农村经济工作的方针、政策、法规和《社章》。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（2）负责综合分析供销社经济发展状况，研究制定全市供销社的发展战略和规划，指导全市供销社的发展与改革。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（3）按照政府授权和市场经济的要求，对重要农业生产资料和农副产品、烟花爆竹经营进行组织、协调、管理。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（4）指导各级供销社的业务活动，促进全市城乡物资交流，建立和完善农业社会化服务体系。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（5）围绕农业、农村、农民的需要，组织实施以农产品加工为主的社办工业体系建设。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（6）对市直供销社企业行使经营管理职能，并按照资产保值增值的要求，对社有资产进行监督管理。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（7）组织全市供销社干部、职工业务培训；检查、指导本系统的队伍建设。</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（8）承办市委、市政府、省供销社交办的其他工作。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rPr>
        <w:t>（二）机构设置</w:t>
      </w:r>
      <w:r>
        <w:rPr>
          <w:rFonts w:hint="eastAsia" w:ascii="楷体" w:hAnsi="楷体" w:eastAsia="楷体" w:cs="楷体"/>
          <w:kern w:val="0"/>
          <w:sz w:val="32"/>
          <w:szCs w:val="32"/>
          <w:lang w:val="en-US" w:eastAsia="zh-CN"/>
        </w:rPr>
        <w:t>与人员情况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kern w:val="2"/>
          <w:sz w:val="32"/>
          <w:szCs w:val="32"/>
          <w:lang w:val="en-US" w:eastAsia="zh-CN" w:bidi="ar-SA"/>
        </w:rPr>
        <w:t>根据编委核定，本单位内设7个科室，二级机构 1 个。内设科室分别是：办公室、人事科、财务科、合作指导科、经贸发展科、社有资产管理科、审计科；二级机构：岳阳市供销社新农村服务网络中心（财务未独立）。</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auto"/>
          <w:kern w:val="2"/>
          <w:sz w:val="32"/>
          <w:szCs w:val="32"/>
          <w:lang w:val="en-US" w:eastAsia="zh-CN" w:bidi="ar-SA"/>
        </w:rPr>
        <w:t>我社2023年度全年预算2457.58万元，其中一般公共预算财政拨款1080.68万元，政府性基金预算财政拨款1376.9万元。我社2023年度基本支出808.08万元，其中人员经费713.2万元，公用经费94.88万元。基本支出主要</w:t>
      </w:r>
      <w:r>
        <w:rPr>
          <w:rFonts w:hint="eastAsia" w:eastAsia="仿宋_GB2312" w:cs="仿宋_GB2312"/>
          <w:color w:val="auto"/>
          <w:kern w:val="0"/>
          <w:sz w:val="32"/>
          <w:szCs w:val="32"/>
          <w:lang w:eastAsia="zh-CN"/>
        </w:rPr>
        <w:t>是指为保障单位机构正常运转、完成日常工作任务而发生的各项支出，包括用于基本工资、</w:t>
      </w:r>
      <w:r>
        <w:rPr>
          <w:rFonts w:hint="eastAsia" w:eastAsia="仿宋_GB2312" w:cs="仿宋_GB2312"/>
          <w:color w:val="auto"/>
          <w:kern w:val="0"/>
          <w:sz w:val="32"/>
          <w:szCs w:val="32"/>
          <w:lang w:val="en-US" w:eastAsia="zh-CN"/>
        </w:rPr>
        <w:t>绩效工资、</w:t>
      </w:r>
      <w:r>
        <w:rPr>
          <w:rFonts w:hint="eastAsia" w:eastAsia="仿宋_GB2312" w:cs="仿宋_GB2312"/>
          <w:color w:val="auto"/>
          <w:kern w:val="0"/>
          <w:sz w:val="32"/>
          <w:szCs w:val="32"/>
          <w:lang w:eastAsia="zh-CN"/>
        </w:rPr>
        <w:t>津贴补贴、</w:t>
      </w:r>
      <w:r>
        <w:rPr>
          <w:rFonts w:hint="eastAsia" w:eastAsia="仿宋_GB2312" w:cs="仿宋_GB2312"/>
          <w:color w:val="auto"/>
          <w:kern w:val="0"/>
          <w:sz w:val="32"/>
          <w:szCs w:val="32"/>
          <w:lang w:val="en-US" w:eastAsia="zh-CN"/>
        </w:rPr>
        <w:t>社会保障缴费</w:t>
      </w:r>
      <w:r>
        <w:rPr>
          <w:rFonts w:hint="eastAsia" w:eastAsia="仿宋_GB2312" w:cs="仿宋_GB2312"/>
          <w:color w:val="auto"/>
          <w:kern w:val="0"/>
          <w:sz w:val="32"/>
          <w:szCs w:val="32"/>
          <w:lang w:eastAsia="zh-CN"/>
        </w:rPr>
        <w:t>等人员经费，办公费、印刷费、水电费、差旅费、</w:t>
      </w:r>
      <w:r>
        <w:rPr>
          <w:rFonts w:hint="eastAsia" w:eastAsia="仿宋_GB2312" w:cs="仿宋_GB2312"/>
          <w:color w:val="auto"/>
          <w:kern w:val="0"/>
          <w:sz w:val="32"/>
          <w:szCs w:val="32"/>
          <w:lang w:val="en-US" w:eastAsia="zh-CN"/>
        </w:rPr>
        <w:t>公务接待费、维修（护）费</w:t>
      </w:r>
      <w:r>
        <w:rPr>
          <w:rFonts w:hint="eastAsia" w:eastAsia="仿宋_GB2312" w:cs="仿宋_GB2312"/>
          <w:color w:val="auto"/>
          <w:kern w:val="0"/>
          <w:sz w:val="32"/>
          <w:szCs w:val="32"/>
          <w:lang w:eastAsia="zh-CN"/>
        </w:rPr>
        <w:t>等日常公用经费，</w:t>
      </w:r>
      <w:r>
        <w:rPr>
          <w:rFonts w:hint="eastAsia" w:eastAsia="仿宋_GB2312" w:cs="仿宋_GB2312"/>
          <w:color w:val="auto"/>
          <w:kern w:val="0"/>
          <w:sz w:val="32"/>
          <w:szCs w:val="32"/>
          <w:lang w:val="en-US" w:eastAsia="zh-CN"/>
        </w:rPr>
        <w:t>以及离退休费用等其他对个人和家庭的补助支出。</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auto"/>
          <w:kern w:val="2"/>
          <w:sz w:val="32"/>
          <w:szCs w:val="32"/>
          <w:lang w:val="en-US" w:eastAsia="zh-CN" w:bidi="ar-SA"/>
        </w:rPr>
        <w:t>我社2023年度项目支出1649.5万元，主要是大美湖区优质农产品展示交易中心项目资金1376.9万元，用于大美湖区优质农产品展示交易中心土地出让金的缴纳；2022-2023年大化肥淡季储备补贴150万元；农村电商平台82.6万元，乡村振兴电商培训业务委托费40万元。</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政府性基金预算支出情况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2023年度我社政府性基金预算支出1376.9万元，是大美湖区优质农产品展示交易中心项目资金，用于大美湖区优质农产品展示交易中心土地出让金的缴纳。</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eastAsia" w:ascii="Times New Roman" w:hAnsi="Times New Roman" w:eastAsia="黑体" w:cs="Times New Roman"/>
          <w:sz w:val="32"/>
          <w:szCs w:val="32"/>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国有资本经营预算支出情况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我社无此项支出。</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我社无此项支出。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社结合本年度重点工作，根据工作需要设定了2023年度部门整体支出产出指标、效益指标和满意度指标，并将指标细化至三级指标，确保各项指标具体明确，针对性强。我社围绕今年重点工作任务，全面推动综合改革落实落地，综合改革成效显著，社会影响力逐年上升，得到了老百姓的好评，很好地完成了各项指标任务，取得了良好的社会反响，全年部门整体支出绩效自评评为“优”等次。</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预算财务管理方面</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1、严格预算支出管理制度，提高预算资金使用效率</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预算制度，按照人员经费和公用经费的编制要求，科学合理编制全年预算，严格执行预算管理制度，将“过紧日子”贯穿全年，切实降低运行成本。厉行节约，严格按照预算管理要求按进度科学合理安排各项费用支出，提高资金使用效率。</w:t>
      </w:r>
    </w:p>
    <w:p>
      <w:pPr>
        <w:pStyle w:val="2"/>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加强财务管理，规范资金使用</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我社对各项制度进行了完善和修订，形成了制度汇编。严格对公务用车、公务接待等实行事前审批制度，财务部门按照财经纪律，严格审批手续，厉行节约，从严控制各项费用支出，“三公经费”逐年下降，坚决杜绝资金浪费情况，确保资金使用的规范性、安全性和有效性。</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严格政府采购程序，加强资产管理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社严格按照政府采购和资产管理的相关要求，规范采购行为，严格执行国有资产配置标准，在政府采购平台电子卖场上进行采购。配备了资产管理员，对资产的采购、保管、处置、报废等流程进行统一管理，建立资产台账，与财务部门加强数据核对，确保账实相符。</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仿宋_GB2312" w:cs="Times New Roman"/>
          <w:color w:val="2E75B6" w:themeColor="accent1" w:themeShade="BF"/>
          <w:sz w:val="32"/>
          <w:szCs w:val="32"/>
          <w:highlight w:val="none"/>
        </w:rPr>
      </w:pPr>
      <w:r>
        <w:rPr>
          <w:rFonts w:hint="eastAsia" w:ascii="Times New Roman" w:hAnsi="Times New Roman" w:eastAsia="仿宋_GB2312" w:cs="Times New Roman"/>
          <w:color w:val="000000"/>
          <w:kern w:val="0"/>
          <w:sz w:val="32"/>
          <w:szCs w:val="32"/>
          <w:lang w:val="en-US" w:eastAsia="zh-CN" w:bidi="ar-SA"/>
        </w:rPr>
        <w:t>（二）</w:t>
      </w:r>
      <w:r>
        <w:rPr>
          <w:rFonts w:hint="eastAsia" w:ascii="仿宋_GB2312" w:hAnsi="仿宋_GB2312" w:eastAsia="仿宋_GB2312" w:cs="仿宋_GB2312"/>
          <w:kern w:val="44"/>
          <w:sz w:val="32"/>
          <w:szCs w:val="32"/>
          <w:lang w:val="en-US" w:eastAsia="zh-CN" w:bidi="ar"/>
        </w:rPr>
        <w:t>履职产出效益方面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改革示范成效明显。出台《持续深化综合改革，实施“强基强能”工程，推动“两个到户”，打造全省全国亮点品牌工作方案》和《“强基强能”基层示范点创建方案》，立稳了全年供销改革的四梁八柱。大力实施“强基强能”工程，将村级供销社建设纳入市委市政府和美乡村建设任务，与市委组织部“江湖形胜·竞跑共富”党建赋能乡村振兴计划相结合，指导督促村级供销社实体运营开展为农服务，推动村集体经济发展壮大。全市共注册村级供销社253家，整合农资供应、土地流转、农村电商、农旅融合等业务，帮助村集体年平均增收5—10万元。积极开展基层社示范社创建，全年成功创建十佳乡镇惠农服务中心和20家村级供销合作社示范社。市委改革办充分肯定汨罗市、平江县供销社县域流通服务网络强县建设改革成效。汨罗市供销社成立湖南大湘联贸供销有限公司，组建汨罗市农副产品供销联盟协会，建立农产品县域流通服务平台，建设集采集配中心，建成乡村两级服务超市80多家。平江县政府无偿划拨土地27.8亩，建设县级惠农服务物资储备及集采集配中心。投资新建冷库仓储和冷链配送中心，构建县日用消费品流通服务网络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农业生产降本增效。市委农村工作领导小组出台《关于建立健全农资淡季储备稳价保供机制的意见》，我社与市财政局联合制定《农资淡储奖补实施办法》，为我社抓好农资淡储工作提供政策依据。市县两级政府安排农资淡季储备奖补资金近1000万元。2022-2023年度，全市系统首次完成了市政府下达的4万吨化肥淡储任务。指导汨罗市作为湖南唯一一个县级市成功申报全国总社绿色农资升级行动示范县。市农资公司与省新三湘农资公司签订战略合作协议，将进一步推动岳阳供销农资事业大跨步发展。我社出资300万元，与市财政局、市融资担保公司合作设立“乡村振兴—供销基金”专项子基金，专门为基层社及农业经营主体解决农资淡储信贷资金6000万元。全市成立农业社会化服务大联盟。对全市县、乡镇两级惠农服务平台运营及专项资金使用情况开展监督检查，进一步加强对惠农平台的监管，落实注册资本，扩大供销社股权，强化平台农化服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消费帮扶助农增收。我社积极组织县市区优质农产品外出参展，在2023“湘品出湘”大湾区产销对接会上，岳阳市16家企业、100多种产品受到热烈欢迎，展会现场销售产品50多万元，企业签订意向合作订单达3780余万元。我社正在组织岳阳农产品进入粤港澳大湾区绿色农产品生产供应基地，推动“岳品出境”，力争打通新渠道。帮销滞销农产品，君山区广兴洲镇大白菜、包菜丰收却遭遇销售困难，我社积极调集资源签订销售订单，直接帮助农户销售白菜包菜20余吨。首次开展对口帮扶桑日县，首批桑日产品红酒订单供货100万元；对口保靖帮扶共联结供应商30个、 63款产品，销售帮扶产品3000多万元。2023年来，全市系统“线上+线下”帮助销售农产品营业额超过1亿元。正在规划设计岳阳农产品保供中心项目，打造岳阳供销农产品流通新引擎。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社有资产保值增值。我社加大对社有资产的管理力度，建立资产管理台账，建立健全和完善10项社有资产和社有企业管理制度，构建监管有力、管理有效的营运体系。县市区积极推动资产保值增值，平江县供销社改造安定供销社破旧农贸市场，通过招商形式，为安定供销社增加固定资产1000万元以上，年增收达到130万元以上。华容县社通过项目招商引资，成功引进全国供销总社社有企业投资建设粮食仓储设施项目，项目一期投资1.2亿元。加强安全生产检查排查，着力整治三角线社有资产安全隐患，取得明显成效。</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绩效管理人员的专业性有待进一步加强。由于绩效管理工作由财政局牵头，各个单位的整体支出绩效管理和项目支出绩效管理工作也基本上由财务部门牵头，各业务科室配合。受专业性限制，财务人员对业务工作的熟悉程度、项目的开展情况等缺乏足够的了解，绩效管理工作的专业性也受限，导致绩效管理工作不能最大程度发挥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color w:val="auto"/>
          <w:sz w:val="36"/>
          <w:szCs w:val="36"/>
          <w:lang w:val="en-US" w:eastAsia="zh-CN"/>
        </w:rPr>
        <w:t>（二）</w:t>
      </w:r>
      <w:r>
        <w:rPr>
          <w:rFonts w:hint="eastAsia" w:ascii="Times New Roman" w:hAnsi="Times New Roman" w:eastAsia="仿宋_GB2312" w:cs="Times New Roman"/>
          <w:color w:val="auto"/>
          <w:kern w:val="0"/>
          <w:sz w:val="32"/>
          <w:szCs w:val="32"/>
          <w:lang w:val="en-US" w:eastAsia="zh-CN" w:bidi="ar-SA"/>
        </w:rPr>
        <w:t>对绩效管理工作的重视程度有待进一步加强。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近年来，随着预算绩效管理工作的开展，“花钱必问效”的观念慢慢地深入人心，但是在实际执行过程当中，如何科学设定绩效目标、如何恰当评价绩效目标完成情况以及如何将绩效评价的结果真正地应用到实际工作中去等绩效管理方面的重视程度还不够，缺乏深入的思考和探索。究其原因是对绩效管理工作的重视程度还有待进一步加强。</w:t>
      </w: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提高绩效管理意识，加大对绩效管理工作人员的培训力度，积极探索将绩效管理工作真正应用到实际工作中去的工作思路和工作方法。</w:t>
      </w: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部门整体支出绩效自评结果拟应用和公开情况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对照绩效自评结果，总结经验，发现问题，提出改进的方向和具体措施，促进工作的开展。逐步建立绩效评价与部门预算相结合的结果应用机制，实行绩效评价结果在部门预算编制和执行中的应用，促进财政资金的合理分配与有效使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黑体" w:cs="Times New Roman"/>
          <w:sz w:val="32"/>
          <w:szCs w:val="32"/>
          <w:lang w:val="en-US"/>
        </w:rPr>
      </w:pPr>
      <w:r>
        <w:rPr>
          <w:rFonts w:hint="eastAsia" w:ascii="Times New Roman" w:hAnsi="Times New Roman" w:eastAsia="仿宋_GB2312" w:cs="Times New Roman"/>
          <w:sz w:val="32"/>
          <w:szCs w:val="32"/>
          <w:lang w:val="en-US" w:eastAsia="zh-CN"/>
        </w:rPr>
        <w:t xml:space="preserve">对部门整体支出绩效自评在规定时间内公开至本单位门户网站，确保公开数据真实、完整、准确。                                                                                                                                                                                                                                                                                                                                                                                                                                                                                                                                                                                                                                                                                                                                                                                                                                                                                                                                                                                                                                                                                                                                                                                                                                                                                                                                                                                                                                                                                 </w:t>
      </w:r>
    </w:p>
    <w:p>
      <w:pPr>
        <w:pStyle w:val="2"/>
        <w:numPr>
          <w:ilvl w:val="0"/>
          <w:numId w:val="0"/>
        </w:numPr>
        <w:ind w:leftChars="200"/>
        <w:rPr>
          <w:rFonts w:hint="default"/>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其他需要说明的情况</w:t>
      </w:r>
    </w:p>
    <w:p>
      <w:pPr>
        <w:pStyle w:val="2"/>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spacing w:after="120" w:afterLines="50" w:line="600" w:lineRule="exact"/>
        <w:jc w:val="both"/>
        <w:rPr>
          <w:rFonts w:hint="eastAsia" w:ascii="黑体" w:hAnsi="黑体" w:eastAsia="黑体" w:cs="黑体"/>
          <w:sz w:val="32"/>
          <w:szCs w:val="32"/>
          <w:highlight w:val="none"/>
          <w:lang w:val="en-US" w:eastAsia="zh-CN"/>
        </w:rPr>
      </w:pPr>
    </w:p>
    <w:p>
      <w:pPr>
        <w:pStyle w:val="2"/>
        <w:rPr>
          <w:rFonts w:hint="eastAsia" w:ascii="仿宋_GB2312" w:hAnsi="仿宋_GB2312" w:eastAsia="仿宋_GB2312" w:cs="仿宋_GB2312"/>
          <w:sz w:val="32"/>
          <w:szCs w:val="32"/>
          <w:highlight w:val="none"/>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1EDE5"/>
    <w:multiLevelType w:val="singleLevel"/>
    <w:tmpl w:val="AD41EDE5"/>
    <w:lvl w:ilvl="0" w:tentative="0">
      <w:start w:val="1"/>
      <w:numFmt w:val="chineseCounting"/>
      <w:suff w:val="nothing"/>
      <w:lvlText w:val="%1、"/>
      <w:lvlJc w:val="left"/>
      <w:rPr>
        <w:rFonts w:hint="eastAsia"/>
      </w:rPr>
    </w:lvl>
  </w:abstractNum>
  <w:abstractNum w:abstractNumId="1">
    <w:nsid w:val="E8180121"/>
    <w:multiLevelType w:val="singleLevel"/>
    <w:tmpl w:val="E8180121"/>
    <w:lvl w:ilvl="0" w:tentative="0">
      <w:start w:val="8"/>
      <w:numFmt w:val="chineseCounting"/>
      <w:suff w:val="nothing"/>
      <w:lvlText w:val="%1、"/>
      <w:lvlJc w:val="left"/>
      <w:rPr>
        <w:rFonts w:hint="eastAsia"/>
      </w:rPr>
    </w:lvl>
  </w:abstractNum>
  <w:abstractNum w:abstractNumId="2">
    <w:nsid w:val="F40863D3"/>
    <w:multiLevelType w:val="singleLevel"/>
    <w:tmpl w:val="F40863D3"/>
    <w:lvl w:ilvl="0" w:tentative="0">
      <w:start w:val="2"/>
      <w:numFmt w:val="decimal"/>
      <w:suff w:val="nothing"/>
      <w:lvlText w:val="%1、"/>
      <w:lvlJc w:val="left"/>
    </w:lvl>
  </w:abstractNum>
  <w:abstractNum w:abstractNumId="3">
    <w:nsid w:val="1113A4A2"/>
    <w:multiLevelType w:val="singleLevel"/>
    <w:tmpl w:val="1113A4A2"/>
    <w:lvl w:ilvl="0" w:tentative="0">
      <w:start w:val="1"/>
      <w:numFmt w:val="chineseCounting"/>
      <w:suff w:val="nothing"/>
      <w:lvlText w:val="（%1）"/>
      <w:lvlJc w:val="left"/>
      <w:rPr>
        <w:rFonts w:hint="eastAsia"/>
      </w:rPr>
    </w:lvl>
  </w:abstractNum>
  <w:abstractNum w:abstractNumId="4">
    <w:nsid w:val="6B523AE7"/>
    <w:multiLevelType w:val="singleLevel"/>
    <w:tmpl w:val="6B523AE7"/>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2FE48DD"/>
    <w:rsid w:val="088F0826"/>
    <w:rsid w:val="0E180876"/>
    <w:rsid w:val="11EB40FA"/>
    <w:rsid w:val="1C265EBE"/>
    <w:rsid w:val="20061318"/>
    <w:rsid w:val="29B23A82"/>
    <w:rsid w:val="2CA06BC3"/>
    <w:rsid w:val="2D1139FF"/>
    <w:rsid w:val="301D1117"/>
    <w:rsid w:val="32531934"/>
    <w:rsid w:val="3623685F"/>
    <w:rsid w:val="3C3B065F"/>
    <w:rsid w:val="42F4019F"/>
    <w:rsid w:val="4A6C2EE3"/>
    <w:rsid w:val="53A24618"/>
    <w:rsid w:val="570A6A6D"/>
    <w:rsid w:val="571D70C9"/>
    <w:rsid w:val="59886344"/>
    <w:rsid w:val="65DF3F7C"/>
    <w:rsid w:val="6BFB22E8"/>
    <w:rsid w:val="7C622E01"/>
    <w:rsid w:val="7F8F38F3"/>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三叶草</cp:lastModifiedBy>
  <cp:lastPrinted>2024-06-20T02:22:00Z</cp:lastPrinted>
  <dcterms:modified xsi:type="dcterms:W3CDTF">2024-07-08T02:15:34Z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E22058408CC744BD8B7E3B8D026D3270</vt:lpwstr>
  </property>
</Properties>
</file>