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岳阳市供销合作联社</w:t>
      </w: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岳阳市供销合作联社</w:t>
      </w:r>
      <w:r>
        <w:rPr>
          <w:rFonts w:hint="eastAsia" w:ascii="方正小标宋简体" w:hAnsi="方正小标宋简体" w:eastAsia="方正小标宋简体" w:cs="方正小标宋简体"/>
          <w:sz w:val="44"/>
          <w:szCs w:val="44"/>
        </w:rPr>
        <w:t>整体支</w:t>
      </w:r>
      <w:r>
        <w:rPr>
          <w:rFonts w:hint="eastAsia" w:ascii="方正小标宋简体" w:hAnsi="方正小标宋简体" w:eastAsia="方正小标宋简体" w:cs="方正小标宋简体"/>
          <w:sz w:val="44"/>
          <w:szCs w:val="44"/>
          <w:lang w:val="en-US" w:eastAsia="zh-CN"/>
        </w:rPr>
        <w:t>出</w:t>
      </w:r>
    </w:p>
    <w:p>
      <w:pPr>
        <w:keepNext w:val="0"/>
        <w:keepLines w:val="0"/>
        <w:pageBreakBefore w:val="0"/>
        <w:kinsoku/>
        <w:wordWrap/>
        <w:overflowPunct/>
        <w:topLinePunct w:val="0"/>
        <w:autoSpaceDE/>
        <w:autoSpaceDN/>
        <w:bidi w:val="0"/>
        <w:adjustRightInd/>
        <w:snapToGrid/>
        <w:spacing w:line="560" w:lineRule="exact"/>
        <w:ind w:left="0" w:leftChars="0" w:firstLine="3080" w:firstLineChars="7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（1）宣传、贯彻党和政府及上级供销社有关农村经济工作的方针、政策、法规和《社章》。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（2）负责综合分析供销社经济发展状况，研究制定全市供销社的发展战略和规划，指导全市供销社的发展与改革。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（3）按照政府授权和市场经济的要求，对重要农业生产资料和农副产品、烟花爆竹经营进行组织、协调、管理。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（4）指导各级供销社的业务活动，促进全市城乡物资交流，建立和完善农业社会化服务体系。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（5）围绕农业、农村、农民的需要，组织实施以农产品加工为主的社办工业体系建设。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（6）对市直供销社企业行使经营管理职能，并按照资产保值增值的要求，对社有资产进行监督管理。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（7）组织全市供销社干部、职工业务培训；检查、指导本系统的队伍建设。</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（8）承办市委、市政府、省供销社交办的其他工作。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rPr>
        <w:t>（二）机构设置</w:t>
      </w:r>
      <w:r>
        <w:rPr>
          <w:rFonts w:hint="eastAsia" w:ascii="楷体" w:hAnsi="楷体" w:eastAsia="楷体" w:cs="楷体"/>
          <w:kern w:val="0"/>
          <w:sz w:val="32"/>
          <w:szCs w:val="32"/>
          <w:lang w:val="en-US" w:eastAsia="zh-CN"/>
        </w:rPr>
        <w:t>与人员情况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根据编委核定，本单位内设7个科室，二级机构 1 个。内设科室分别是：办公室、人事科、财务科、合作指导科、经贸发展科、社有资产管理科、审计科；二级机构：岳阳市供销社新农村服务网络中心（财务未独立）。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（三）单位绩效目标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整体支出绩效目标：持续深化供销合作社综合改革，开展生产、供销、信用“三位一体”综合合作工作； 健全农业社会化服务体系，提高为农服务水平；扎实牵头负责全市消费帮扶工作，助力乡村振兴；提质涉农金融服务，保障为农服务需求。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项目支出绩效目标：2022年度我社项目支出主要有大美湖区优质农产品展示交易中心项目、大化肥淡季储备补贴项目和农村电商平台项目。其中大化肥农资淡储补贴年度绩效目标为组织全市系统开展农资淡季储备，完成4万吨大化肥淡储任务，保障春耕备耕农资需求；大美湖区优质农产品展示交易中心项目资金主要用于大美湖区优质农产品展示交易中心土地出让金的缴纳；农村电商平台项目分三年进行，2022年12月项目尚处于研发阶段，暂未投入使用。             </w:t>
      </w:r>
      <w:r>
        <w:rPr>
          <w:rFonts w:hint="eastAsia" w:ascii="仿宋_GB2312" w:hAnsi="仿宋_GB2312" w:eastAsia="仿宋_GB2312" w:cs="仿宋_GB2312"/>
          <w:color w:val="0000FF"/>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（一）基本支出情况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bidi="ar-SA"/>
        </w:rPr>
        <w:t>我社2022年度全年预算2801.12万元，其中一般公共预算财政拨款1131.12万元，政府性基金预算财政拨款1670万元。我社2022年度基本支出884.55万元，其中人员经费773.06万元，公用经费111.49万元。基本支出主要</w:t>
      </w:r>
      <w:r>
        <w:rPr>
          <w:rFonts w:hint="eastAsia" w:eastAsia="仿宋_GB2312" w:cs="仿宋_GB2312"/>
          <w:kern w:val="0"/>
          <w:sz w:val="32"/>
          <w:szCs w:val="32"/>
          <w:lang w:eastAsia="zh-CN"/>
        </w:rPr>
        <w:t>是指为保障单位机构正常运转、完成日常工作任务而发生的各项支出，包括用于基本工资、</w:t>
      </w:r>
      <w:r>
        <w:rPr>
          <w:rFonts w:hint="eastAsia" w:eastAsia="仿宋_GB2312" w:cs="仿宋_GB2312"/>
          <w:kern w:val="0"/>
          <w:sz w:val="32"/>
          <w:szCs w:val="32"/>
          <w:lang w:val="en-US" w:eastAsia="zh-CN"/>
        </w:rPr>
        <w:t>绩效工资、</w:t>
      </w:r>
      <w:r>
        <w:rPr>
          <w:rFonts w:hint="eastAsia" w:eastAsia="仿宋_GB2312" w:cs="仿宋_GB2312"/>
          <w:kern w:val="0"/>
          <w:sz w:val="32"/>
          <w:szCs w:val="32"/>
          <w:lang w:eastAsia="zh-CN"/>
        </w:rPr>
        <w:t>津贴补贴、</w:t>
      </w:r>
      <w:r>
        <w:rPr>
          <w:rFonts w:hint="eastAsia" w:eastAsia="仿宋_GB2312" w:cs="仿宋_GB2312"/>
          <w:kern w:val="0"/>
          <w:sz w:val="32"/>
          <w:szCs w:val="32"/>
          <w:lang w:val="en-US" w:eastAsia="zh-CN"/>
        </w:rPr>
        <w:t>社会保障缴费</w:t>
      </w:r>
      <w:r>
        <w:rPr>
          <w:rFonts w:hint="eastAsia" w:eastAsia="仿宋_GB2312" w:cs="仿宋_GB2312"/>
          <w:kern w:val="0"/>
          <w:sz w:val="32"/>
          <w:szCs w:val="32"/>
          <w:lang w:eastAsia="zh-CN"/>
        </w:rPr>
        <w:t>等人员经费，办公费、印刷费、水电费、差旅费、</w:t>
      </w:r>
      <w:r>
        <w:rPr>
          <w:rFonts w:hint="eastAsia" w:eastAsia="仿宋_GB2312" w:cs="仿宋_GB2312"/>
          <w:kern w:val="0"/>
          <w:sz w:val="32"/>
          <w:szCs w:val="32"/>
          <w:lang w:val="en-US" w:eastAsia="zh-CN"/>
        </w:rPr>
        <w:t>公务接待费、维修（护）费</w:t>
      </w:r>
      <w:r>
        <w:rPr>
          <w:rFonts w:hint="eastAsia" w:eastAsia="仿宋_GB2312" w:cs="仿宋_GB2312"/>
          <w:kern w:val="0"/>
          <w:sz w:val="32"/>
          <w:szCs w:val="32"/>
          <w:lang w:eastAsia="zh-CN"/>
        </w:rPr>
        <w:t>等日常公用经费，</w:t>
      </w:r>
      <w:r>
        <w:rPr>
          <w:rFonts w:hint="eastAsia" w:eastAsia="仿宋_GB2312" w:cs="仿宋_GB2312"/>
          <w:kern w:val="0"/>
          <w:sz w:val="32"/>
          <w:szCs w:val="32"/>
          <w:lang w:val="en-US" w:eastAsia="zh-CN"/>
        </w:rPr>
        <w:t>以及离退休费用等其他对个人和家庭的补助支出。</w:t>
      </w:r>
    </w:p>
    <w:p>
      <w:pPr>
        <w:pStyle w:val="10"/>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项目支出情况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2022年度项目支出1916.57万元，主要是大美湖区优质农产品展示交易中心项目资金1670万元，用于大美湖区优质农产品展示交易中心土地出让金的缴纳；大化肥淡季储备补贴150万元；农村电商平台96.57万元（该项目分三年进行，2022年12月项目尚处于研发阶段，暂未投入使用）。</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2022年度我社政府性基金预算支出1670万元，是大美湖区优质农产品展示交易中心项目资金，用于大美湖区优质农产品展示交易中心土地出让金的缴纳。</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社会保险基金预算支出情况</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结合本年度重点工作，设定了2022年度部门整体支出产出指标和效益指标，并将指标细化至三级指标，指标内涵明确具体、可操作性强。我社紧紧围绕年度重点工作内容，真抓实干，厉行节约，很好地完成了各项指标任务，取得了良好的社会反响，部门整体支出绩效自评得分98分。</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预算财务管理方面</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1.严格执行预算管理制度，切实降低运行成本。2022年，</w:t>
      </w:r>
      <w:r>
        <w:rPr>
          <w:rFonts w:hint="eastAsia" w:ascii="Times New Roman" w:hAnsi="Times New Roman" w:eastAsia="仿宋_GB2312" w:cs="Times New Roman"/>
          <w:color w:val="000000"/>
          <w:sz w:val="32"/>
          <w:szCs w:val="32"/>
          <w:lang w:val="en-US" w:eastAsia="zh-CN"/>
        </w:rPr>
        <w:t>我社严格预算管理，科学安排支出，实时把握支出进度，不断提高资金使用效益，将过“紧日子”贯穿全年，</w:t>
      </w:r>
      <w:r>
        <w:rPr>
          <w:rFonts w:hint="eastAsia" w:ascii="Times New Roman" w:hAnsi="Times New Roman" w:eastAsia="仿宋_GB2312" w:cs="Times New Roman"/>
          <w:color w:val="000000"/>
          <w:kern w:val="0"/>
          <w:sz w:val="32"/>
          <w:szCs w:val="32"/>
          <w:lang w:val="en-US" w:eastAsia="zh-CN" w:bidi="ar-SA"/>
        </w:rPr>
        <w:t>建立健全了收入、支出、政府采购、资产管理以及公务接待、差旅费等财务管理制度，对公务用车、公务租车、公务出差、公务接待、会议费等实行事前审批制度，严格控制各项支出，有效杜绝了资金浪费情况，确保了资金使用的规范性、安全性和有效性，</w:t>
      </w:r>
      <w:r>
        <w:rPr>
          <w:rFonts w:hint="eastAsia" w:ascii="Times New Roman" w:hAnsi="Times New Roman" w:eastAsia="仿宋_GB2312" w:cs="Times New Roman"/>
          <w:color w:val="000000"/>
          <w:sz w:val="32"/>
          <w:szCs w:val="32"/>
          <w:lang w:val="en-US" w:eastAsia="zh-CN"/>
        </w:rPr>
        <w:t>预算执行率达到100%，</w:t>
      </w:r>
      <w:r>
        <w:rPr>
          <w:rFonts w:hint="eastAsia" w:ascii="Times New Roman" w:hAnsi="Times New Roman" w:eastAsia="仿宋_GB2312" w:cs="Times New Roman"/>
          <w:color w:val="000000"/>
          <w:kern w:val="0"/>
          <w:sz w:val="32"/>
          <w:szCs w:val="32"/>
          <w:lang w:val="en-US" w:eastAsia="zh-CN" w:bidi="ar-SA"/>
        </w:rPr>
        <w:t>切实降低运行成本，</w:t>
      </w:r>
      <w:r>
        <w:rPr>
          <w:rFonts w:hint="eastAsia" w:ascii="Times New Roman" w:hAnsi="Times New Roman" w:eastAsia="仿宋_GB2312" w:cs="Times New Roman"/>
          <w:color w:val="000000"/>
          <w:sz w:val="32"/>
          <w:szCs w:val="32"/>
          <w:lang w:val="en-US" w:eastAsia="zh-CN"/>
        </w:rPr>
        <w:t>发挥了财政资金的最大效益。</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加强资产管理，确保资产保值增值。我社根据政府采购和资产管理要求，建立了资产实物管理台账，根据各科室的需求制订了采购计划，按国有资产配置、政府采购和有关规定按程序在电子卖场进行采购活动。2022年底，我社固定资产原值521.38万元，净值121.44万元，无形资产原值2.93万元，净值2.65万元。</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w:t>
      </w:r>
      <w:r>
        <w:rPr>
          <w:rFonts w:hint="eastAsia" w:ascii="仿宋_GB2312" w:hAnsi="仿宋_GB2312" w:eastAsia="仿宋_GB2312" w:cs="仿宋_GB2312"/>
          <w:kern w:val="44"/>
          <w:sz w:val="32"/>
          <w:szCs w:val="32"/>
          <w:lang w:val="en-US" w:eastAsia="zh-CN" w:bidi="ar"/>
        </w:rPr>
        <w:t>履职产出效益方面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44"/>
          <w:sz w:val="32"/>
          <w:szCs w:val="32"/>
          <w:lang w:val="en-US" w:eastAsia="zh-CN" w:bidi="ar"/>
        </w:rPr>
      </w:pPr>
      <w:r>
        <w:rPr>
          <w:rFonts w:hint="eastAsia" w:ascii="仿宋_GB2312" w:hAnsi="仿宋_GB2312" w:eastAsia="仿宋_GB2312" w:cs="仿宋_GB2312"/>
          <w:kern w:val="44"/>
          <w:sz w:val="32"/>
          <w:szCs w:val="32"/>
          <w:lang w:val="en-US" w:eastAsia="zh-CN" w:bidi="ar"/>
        </w:rPr>
        <w:t>1、瞄准示范引领，深化改革重点突破。按照全省改革试点工作要求，全面推进“三位一体”综合合作及“两个到户”工作。组织召开全市供销系统“两个到户”工作动员部署会，出台指导性意见及具体实施方案。与市委组织部、市农业农村局、市乡村振兴局等单位共同研究出台《关于进一步加强村级供销合作社建设，促进村集体经济发展的实施意见（试行）》，把供销改革与村集体经济增长有效进行衔接，突出供销社参与乡村振兴的工作定位。我市“两个到户”经验及罗江镇惠农服务中心农化服务举措被省供销改革领导小组办公室改革简报推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44"/>
          <w:sz w:val="32"/>
          <w:szCs w:val="32"/>
          <w:lang w:val="en-US" w:eastAsia="zh-CN" w:bidi="ar"/>
        </w:rPr>
      </w:pPr>
      <w:r>
        <w:rPr>
          <w:rFonts w:hint="eastAsia" w:ascii="仿宋_GB2312" w:hAnsi="仿宋_GB2312" w:eastAsia="仿宋_GB2312" w:cs="仿宋_GB2312"/>
          <w:kern w:val="44"/>
          <w:sz w:val="32"/>
          <w:szCs w:val="32"/>
          <w:lang w:val="en-US" w:eastAsia="zh-CN" w:bidi="ar"/>
        </w:rPr>
        <w:t>2、服务乡村振兴，消费帮扶稳健发力。牵头负责全市消费帮扶工作，与市财政局、市总工会、市农业农村局、市乡村振兴局协商，出台《关于开展消费帮扶推进乡村振兴的通知》。同时按要求指导、服务市直各预算单位、各县市区在832平台、湖南省乡村振兴馆、岳阳消费帮扶网等平台搞好食堂预留份额采购、工会福利采购工作。扎实做好对口保靖县消费帮扶工作，实施精准帮扶。与乡村振兴局联合举办助力乡村振兴电商培训班，100多名来自企业生产一线、农业生产一线建档立卡脱贫户等人员接受培训，培训取得非常好的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44"/>
          <w:sz w:val="32"/>
          <w:szCs w:val="32"/>
          <w:lang w:val="en-US" w:eastAsia="zh-CN" w:bidi="ar"/>
        </w:rPr>
      </w:pPr>
      <w:r>
        <w:rPr>
          <w:rFonts w:hint="eastAsia" w:ascii="仿宋_GB2312" w:hAnsi="仿宋_GB2312" w:eastAsia="仿宋_GB2312" w:cs="仿宋_GB2312"/>
          <w:kern w:val="44"/>
          <w:sz w:val="32"/>
          <w:szCs w:val="32"/>
          <w:lang w:val="en-US" w:eastAsia="zh-CN" w:bidi="ar"/>
        </w:rPr>
        <w:t>3、壮大自身实力，项目建设有序推进。把项目建设作为壮大社有企业实力的重要抓手。大美湖区优质农产品展示交易中心项目成功立项，项目用地三角线仓库土地实现从划拨用地转为商业出让用地。“岳阳市农村电商平台”已完成设计并初验，现正在开展内部测试，试运行。充分利用好大化肥农资淡储项目，扎实做好农资供应工作，在春耕和三夏保供期间，切实降低了农民的种粮成本，提高了为农服务能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FF0000"/>
          <w:sz w:val="32"/>
          <w:szCs w:val="32"/>
        </w:rPr>
      </w:pPr>
      <w:r>
        <w:rPr>
          <w:rFonts w:hint="eastAsia" w:ascii="仿宋_GB2312" w:hAnsi="仿宋_GB2312" w:eastAsia="仿宋_GB2312" w:cs="仿宋_GB2312"/>
          <w:kern w:val="44"/>
          <w:sz w:val="32"/>
          <w:szCs w:val="32"/>
          <w:lang w:val="en-US" w:eastAsia="zh-CN" w:bidi="ar"/>
        </w:rPr>
        <w:t>4、服务中心重点，确保工作出色出彩。我社高标准完成湖南省第十四届运动会青少年赛艇项目后勤保障工作，市社志愿者细致周到的服务赢得了各市州参赛队伍的高度赞扬。我社作为具体协调筹办单位，与省供销社、汨罗市委市政府共同协商、推动2022年中国农民丰收节全国供销合作社（湖南汨罗）主题日活动。省委副书记朱国贤，全国供销总社理事会副主任侯顺利给予高度评价。市委书记曹普华在对我社《关于2022年中国农民丰收节全国供销合作社主题日活动情况的报告》作出批示，要求我社“积极探索工作机制，创造更多更富实效的岳阳模式经验”。李挚市长作出批示“借活动成功举办的东风，再接再厉，再创岳阳供销社事业发展的雄风”。</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kern w:val="0"/>
          <w:sz w:val="32"/>
          <w:szCs w:val="32"/>
          <w:lang w:val="en-US" w:eastAsia="zh-CN" w:bidi="ar-SA"/>
        </w:rPr>
        <w:t>（一）预算精准性有待进一步提高。</w:t>
      </w:r>
      <w:r>
        <w:rPr>
          <w:rFonts w:hint="eastAsia" w:ascii="Times New Roman" w:hAnsi="Times New Roman" w:eastAsia="仿宋_GB2312" w:cs="Times New Roman"/>
          <w:sz w:val="32"/>
          <w:szCs w:val="32"/>
          <w:lang w:val="en-US" w:eastAsia="zh-CN"/>
        </w:rPr>
        <w:t>由于预算编制具有不可预见性，年初安排预算时，对各项公用支出的分配安排缺乏统一的硬性标准，导致部分资金使用时需要进行指标调剂。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kern w:val="0"/>
          <w:sz w:val="32"/>
          <w:szCs w:val="32"/>
          <w:lang w:val="en-US" w:eastAsia="zh-CN" w:bidi="ar-SA"/>
        </w:rPr>
        <w:t>（二）预算绩效管理意识有待进一步加强，预算绩效管理的工作方法方式有待创新。</w:t>
      </w:r>
      <w:r>
        <w:rPr>
          <w:rFonts w:hint="eastAsia" w:ascii="Times New Roman" w:hAnsi="Times New Roman" w:eastAsia="仿宋_GB2312" w:cs="Times New Roman"/>
          <w:sz w:val="32"/>
          <w:szCs w:val="32"/>
          <w:lang w:val="en-US" w:eastAsia="zh-CN"/>
        </w:rPr>
        <w:t>预算绩效管理工作贯穿全年，与各个业务科室息息相关，由于对预算绩效管理的全面性和重要性缺乏深入的了解，统揽全局的意识有所欠缺，导致预算绩效管理工作在推动过程中能够很好地完成各项工作任务，但工作质量难以实现质的飞跃。</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kern w:val="0"/>
          <w:sz w:val="32"/>
          <w:szCs w:val="32"/>
          <w:lang w:val="en-US" w:eastAsia="zh-CN" w:bidi="ar-SA"/>
        </w:rPr>
        <w:t>财务业务水平有待进一步提高。</w:t>
      </w:r>
      <w:r>
        <w:rPr>
          <w:rFonts w:hint="eastAsia" w:ascii="Times New Roman" w:hAnsi="Times New Roman" w:eastAsia="仿宋_GB2312" w:cs="Times New Roman"/>
          <w:sz w:val="32"/>
          <w:szCs w:val="32"/>
          <w:lang w:val="en-US" w:eastAsia="zh-CN"/>
        </w:rPr>
        <w:t>由于财务工作内容变化较大，各项制度、政策更新快，加之财务人员忙于琐碎的日常工作，对各项新知识、新业务的学习时间、精力有限，导致财务人员预算绩效管理工作水平一般，在将预算绩效管理转化成工作成果，更好地指导各项工作的开展方面有所欠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八、下一步改进措施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（一）加强预算编制的前瞻性，提高预算编制水平。</w:t>
      </w:r>
      <w:r>
        <w:rPr>
          <w:rFonts w:hint="eastAsia" w:ascii="Times New Roman" w:hAnsi="Times New Roman" w:eastAsia="仿宋_GB2312" w:cs="Times New Roman"/>
          <w:sz w:val="32"/>
          <w:szCs w:val="32"/>
          <w:lang w:val="en-US" w:eastAsia="zh-CN"/>
        </w:rPr>
        <w:t>进一步提高预算编制的科学性、合理性、严谨性和可控性，紧密结合上一年度预算执行情况和本年度预算收支变化因素，科学、合理地编制本年预算草案，避免出现预算支出与预算执行出现偏差较大的情况。落实预算执行分析，及时了解预算执行差异，合理调整、纠正预算执行偏差，切实提高部门预算收支管理水平。</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牢固树立预算绩效管理贯穿全局的理念，进一步创新工作方式方法。</w:t>
      </w:r>
      <w:r>
        <w:rPr>
          <w:rFonts w:hint="eastAsia" w:ascii="Times New Roman" w:hAnsi="Times New Roman" w:eastAsia="仿宋_GB2312" w:cs="Times New Roman"/>
          <w:sz w:val="32"/>
          <w:szCs w:val="32"/>
          <w:lang w:val="en-US" w:eastAsia="zh-CN"/>
        </w:rPr>
        <w:t>切实做好预算绩效管理的上传下达工作，在全单位形成将预算绩效管理意识融入到业务工作中的意识，多向优秀典型案例学习，拓宽工作思路，多想办法，想好办法，自觉提高预算绩效管理能力。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（三）加大财务人员培训力度，提高财务人员从业水平。</w:t>
      </w:r>
      <w:r>
        <w:rPr>
          <w:rFonts w:hint="eastAsia" w:ascii="Times New Roman" w:hAnsi="Times New Roman" w:eastAsia="仿宋_GB2312" w:cs="Times New Roman"/>
          <w:sz w:val="32"/>
          <w:szCs w:val="32"/>
          <w:lang w:val="en-US" w:eastAsia="zh-CN"/>
        </w:rPr>
        <w:t>督促财务人员树立常学常新的理念，及时更新知识体系，通过加大对财务人员预算绩效管理理论水平和实操的培训，提高将预算绩效管理转化成生产力的能力，更好地提高本单位的管理水平，促进各项事业更好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九、部门整体支出绩效自评结果拟应用和公开情况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照绩效自评结果，总结经验，发现问题，提出改进的方向和具体措施，促进工作的开展。逐步建立绩效评价与部门预算相结合的结果应用机制，实行绩效评价结果在部门预算编制和执行中的应用，促进财政资金的合理分配与有效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仿宋_GB2312" w:cs="Times New Roman"/>
          <w:sz w:val="32"/>
          <w:szCs w:val="32"/>
          <w:lang w:val="en-US" w:eastAsia="zh-CN"/>
        </w:rPr>
        <w:t>对部门整体支出绩效自评在规定时间内公开至本单位门户网站，确保公开数据真实、完整、准确。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其他需要说明的情况</w:t>
      </w:r>
    </w:p>
    <w:p>
      <w:pPr>
        <w:spacing w:after="120" w:afterLines="50" w:line="600" w:lineRule="exact"/>
        <w:jc w:val="both"/>
        <w:rPr>
          <w:rFonts w:hint="eastAsia" w:ascii="黑体" w:hAnsi="黑体" w:eastAsia="黑体" w:cs="黑体"/>
          <w:sz w:val="32"/>
          <w:szCs w:val="32"/>
          <w:lang w:val="en-US" w:eastAsia="zh-CN"/>
        </w:rPr>
      </w:pPr>
      <w:r>
        <w:rPr>
          <w:rFonts w:hint="eastAsia" w:ascii="Times New Roman" w:hAnsi="Times New Roman" w:eastAsia="仿宋_GB2312" w:cs="Times New Roman"/>
          <w:kern w:val="0"/>
          <w:sz w:val="32"/>
          <w:szCs w:val="32"/>
          <w:lang w:val="en-US" w:eastAsia="zh-CN" w:bidi="ar-SA"/>
        </w:rPr>
        <w:t>无。</w:t>
      </w:r>
      <w:r>
        <w:rPr>
          <w:rFonts w:hint="eastAsia" w:ascii="Times New Roman" w:hAnsi="Times New Roman" w:eastAsia="仿宋_GB2312" w:cs="Times New Roman"/>
          <w:kern w:val="0"/>
          <w:sz w:val="32"/>
          <w:szCs w:val="32"/>
          <w:lang w:val="en-US" w:eastAsia="zh-CN" w:bidi="ar-SA"/>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824"/>
        <w:gridCol w:w="71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8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156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56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38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78.95%</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5.29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4.5</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1、公务用车购置和维护经费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2.01</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2.01</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2.99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2.49</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1.16</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1916.57</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3、非税执收成本</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1.16</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145</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1916.57</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1916.57</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农资淡储项目</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农村电商平台</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96.57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96.57</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大美湖区优质农产品展示交易中心土地款</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1670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1670</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84.97</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78.11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108</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7.44</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7.5</w:t>
            </w:r>
            <w:r>
              <w:rPr>
                <w:rFonts w:hint="eastAsia" w:ascii="仿宋_GB2312" w:hAnsi="仿宋_GB2312" w:eastAsia="仿宋_GB2312" w:cs="仿宋_GB2312"/>
                <w:color w:val="auto"/>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9.85</w:t>
            </w:r>
            <w:r>
              <w:rPr>
                <w:rFonts w:hint="eastAsia" w:ascii="仿宋_GB2312" w:hAnsi="仿宋_GB2312" w:eastAsia="仿宋_GB2312" w:cs="仿宋_GB2312"/>
                <w:color w:val="auto"/>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w:t>
            </w:r>
            <w:r>
              <w:rPr>
                <w:rFonts w:hint="eastAsia" w:ascii="仿宋_GB2312" w:hAnsi="仿宋_GB2312" w:eastAsia="仿宋_GB2312" w:cs="仿宋_GB2312"/>
                <w:color w:val="auto"/>
                <w:sz w:val="21"/>
                <w:szCs w:val="21"/>
                <w:lang w:val="en-US" w:eastAsia="zh-CN"/>
              </w:rPr>
              <w:t>13.71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13</w:t>
            </w:r>
            <w:r>
              <w:rPr>
                <w:rFonts w:hint="eastAsia" w:ascii="仿宋_GB2312" w:hAnsi="仿宋_GB2312" w:eastAsia="仿宋_GB2312" w:cs="仿宋_GB2312"/>
                <w:color w:val="auto"/>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16.16</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7.36</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w:t>
            </w:r>
            <w:r>
              <w:rPr>
                <w:rFonts w:hint="eastAsia" w:ascii="仿宋_GB2312" w:hAnsi="仿宋_GB2312" w:eastAsia="仿宋_GB2312" w:cs="仿宋_GB2312"/>
                <w:color w:val="auto"/>
                <w:sz w:val="21"/>
                <w:szCs w:val="21"/>
                <w:lang w:val="en-US" w:eastAsia="zh-CN"/>
              </w:rPr>
              <w:t>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w:t>
            </w:r>
            <w:r>
              <w:rPr>
                <w:rFonts w:hint="eastAsia" w:ascii="仿宋_GB2312" w:hAnsi="仿宋_GB2312" w:eastAsia="仿宋_GB2312" w:cs="仿宋_GB2312"/>
                <w:color w:val="auto"/>
                <w:sz w:val="21"/>
                <w:szCs w:val="21"/>
                <w:lang w:val="en-US" w:eastAsia="zh-CN"/>
              </w:rPr>
              <w:t>2.72</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156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884.55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884.55</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0" w:hRule="atLeast"/>
          <w:jc w:val="center"/>
        </w:trPr>
        <w:tc>
          <w:tcPr>
            <w:tcW w:w="382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71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82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71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82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584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严格控制“三公”经费，“三公”经费较去年下降15.02%。</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        填报日期：         联系电话：        单位负责人签字：</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7"/>
        <w:tblW w:w="10079" w:type="dxa"/>
        <w:jc w:val="center"/>
        <w:tblLayout w:type="fixed"/>
        <w:tblCellMar>
          <w:top w:w="0" w:type="dxa"/>
          <w:left w:w="108" w:type="dxa"/>
          <w:bottom w:w="0" w:type="dxa"/>
          <w:right w:w="108" w:type="dxa"/>
        </w:tblCellMar>
      </w:tblPr>
      <w:tblGrid>
        <w:gridCol w:w="1088"/>
        <w:gridCol w:w="1066"/>
        <w:gridCol w:w="1017"/>
        <w:gridCol w:w="1550"/>
        <w:gridCol w:w="1517"/>
        <w:gridCol w:w="1550"/>
        <w:gridCol w:w="600"/>
        <w:gridCol w:w="616"/>
        <w:gridCol w:w="1075"/>
      </w:tblGrid>
      <w:tr>
        <w:tblPrEx>
          <w:tblCellMar>
            <w:top w:w="0" w:type="dxa"/>
            <w:left w:w="108" w:type="dxa"/>
            <w:bottom w:w="0" w:type="dxa"/>
            <w:right w:w="108" w:type="dxa"/>
          </w:tblCellMar>
        </w:tblPrEx>
        <w:trPr>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1"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岳阳市供销合作联社</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5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51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5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0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0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8"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0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5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612.79</w:t>
            </w:r>
          </w:p>
        </w:tc>
        <w:tc>
          <w:tcPr>
            <w:tcW w:w="151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2801.12</w:t>
            </w:r>
          </w:p>
        </w:tc>
        <w:tc>
          <w:tcPr>
            <w:tcW w:w="15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2801.12</w:t>
            </w:r>
          </w:p>
        </w:tc>
        <w:tc>
          <w:tcPr>
            <w:tcW w:w="60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61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0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38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1131.12</w:t>
            </w:r>
          </w:p>
        </w:tc>
        <w:tc>
          <w:tcPr>
            <w:tcW w:w="38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884.55</w:t>
            </w:r>
          </w:p>
        </w:tc>
      </w:tr>
      <w:tr>
        <w:tblPrEx>
          <w:tblCellMar>
            <w:top w:w="0" w:type="dxa"/>
            <w:left w:w="108" w:type="dxa"/>
            <w:bottom w:w="0" w:type="dxa"/>
            <w:right w:w="108" w:type="dxa"/>
          </w:tblCellMar>
        </w:tblPrEx>
        <w:trPr>
          <w:jc w:val="center"/>
        </w:trPr>
        <w:tc>
          <w:tcPr>
            <w:tcW w:w="108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1670</w:t>
            </w:r>
          </w:p>
        </w:tc>
        <w:tc>
          <w:tcPr>
            <w:tcW w:w="3841"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1916.57</w:t>
            </w:r>
          </w:p>
        </w:tc>
      </w:tr>
      <w:tr>
        <w:tblPrEx>
          <w:tblCellMar>
            <w:top w:w="0" w:type="dxa"/>
            <w:left w:w="108" w:type="dxa"/>
            <w:bottom w:w="0" w:type="dxa"/>
            <w:right w:w="108" w:type="dxa"/>
          </w:tblCellMar>
        </w:tblPrEx>
        <w:trPr>
          <w:jc w:val="center"/>
        </w:trPr>
        <w:tc>
          <w:tcPr>
            <w:tcW w:w="108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纳入专户管理的非税收入拨款：</w:t>
            </w:r>
          </w:p>
        </w:tc>
        <w:tc>
          <w:tcPr>
            <w:tcW w:w="38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8"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38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5150"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84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824" w:hRule="atLeast"/>
          <w:jc w:val="center"/>
        </w:trPr>
        <w:tc>
          <w:tcPr>
            <w:tcW w:w="108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150"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1、持续深化供销合作社综合改革，开展生产、供销、信用“三位一体”综合合作工作； </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2、健全农业社会化服务体系，提高为农服务水平；                                                                          3、扎实牵头负责全市消费帮扶工作，助力乡村振兴；                                                                        4、提质涉农金融服务，保障为农服务需求。　　</w:t>
            </w:r>
          </w:p>
        </w:tc>
        <w:tc>
          <w:tcPr>
            <w:tcW w:w="384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全面推进“三位一体”综合合作及“两个到户”工作，组织召开全市供销系统“两个到户”工作动员部署会，出台指导性意见及具体实施方案；狠抓农资保供工作，稳步推进信用合作工作，提高农业社会化服务能力，节约农民种粮成本；牵头推进消费帮扶，搞好食堂预留份额采购、工会福利采购工作，扎实做好对口保靖县消费帮扶工作，较好地完成了全年各项目标任务。</w:t>
            </w:r>
          </w:p>
        </w:tc>
      </w:tr>
      <w:tr>
        <w:tblPrEx>
          <w:tblCellMar>
            <w:top w:w="0" w:type="dxa"/>
            <w:left w:w="108" w:type="dxa"/>
            <w:bottom w:w="0" w:type="dxa"/>
            <w:right w:w="108" w:type="dxa"/>
          </w:tblCellMar>
        </w:tblPrEx>
        <w:trPr>
          <w:trHeight w:val="466" w:hRule="atLeast"/>
          <w:jc w:val="center"/>
        </w:trPr>
        <w:tc>
          <w:tcPr>
            <w:tcW w:w="10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55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建设乡镇为农服务综合体</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10个</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10个</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新改造升级薄弱基层社</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3家</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3家</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8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全系统牵头开展土地托管服务</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面积达到160万亩</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面积达到</w:t>
            </w:r>
            <w:r>
              <w:rPr>
                <w:rFonts w:hint="eastAsia" w:ascii="仿宋_GB2312" w:hAnsi="仿宋_GB2312" w:eastAsia="仿宋_GB2312" w:cs="仿宋_GB2312"/>
                <w:color w:val="000000"/>
                <w:sz w:val="20"/>
                <w:szCs w:val="20"/>
                <w:lang w:val="en-US" w:eastAsia="zh-CN"/>
              </w:rPr>
              <w:t>260.1</w:t>
            </w:r>
            <w:r>
              <w:rPr>
                <w:rFonts w:hint="eastAsia" w:ascii="仿宋_GB2312" w:hAnsi="仿宋_GB2312" w:eastAsia="仿宋_GB2312" w:cs="仿宋_GB2312"/>
                <w:color w:val="000000"/>
                <w:sz w:val="20"/>
                <w:szCs w:val="20"/>
              </w:rPr>
              <w:t>万亩</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系统开展农业社会化服务</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500万亩次</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547</w:t>
            </w:r>
            <w:r>
              <w:rPr>
                <w:rFonts w:hint="eastAsia" w:ascii="仿宋_GB2312" w:hAnsi="仿宋_GB2312" w:eastAsia="仿宋_GB2312" w:cs="仿宋_GB2312"/>
                <w:color w:val="000000"/>
                <w:sz w:val="20"/>
                <w:szCs w:val="20"/>
              </w:rPr>
              <w:t>万亩</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00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p>
            <w:pPr>
              <w:widowControl/>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乡镇为农服务综合体</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达到全国总社的相关指标要求</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达到全国总社的相关指标要求</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改造升级薄弱基层社</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达到“六有”标准</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达到“六有”标准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106"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土地托管</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有效破解“种地难题”，促进农业增效，农民增收。</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有效破解“种地难题”，促进农业增效，农民增收。</w:t>
            </w:r>
          </w:p>
        </w:tc>
        <w:tc>
          <w:tcPr>
            <w:tcW w:w="6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823"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农业社会化服务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围绕土地托管、代耕代种、集中育秧、统防统治、农机作业、粮食烘干、收储加工等服务，大力开展全程农业社会化服务，不断提高农业机械化、信息化、科技化水平。</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农业机械化、信息化、科技化水平</w:t>
            </w:r>
            <w:r>
              <w:rPr>
                <w:rFonts w:hint="eastAsia" w:ascii="仿宋_GB2312" w:hAnsi="仿宋_GB2312" w:eastAsia="仿宋_GB2312" w:cs="仿宋_GB2312"/>
                <w:color w:val="000000"/>
                <w:sz w:val="20"/>
                <w:szCs w:val="20"/>
                <w:lang w:val="en-US" w:eastAsia="zh-CN"/>
              </w:rPr>
              <w:t>得到进一步提高</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优化干部职工队伍</w:t>
            </w:r>
          </w:p>
        </w:tc>
        <w:tc>
          <w:tcPr>
            <w:tcW w:w="15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选举中无违规、违法、出现负面舆情</w:t>
            </w:r>
          </w:p>
        </w:tc>
        <w:tc>
          <w:tcPr>
            <w:tcW w:w="15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无违规、违法、出现负面舆情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计划时间完成任务</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2022年底完成</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按时完成</w:t>
            </w:r>
            <w:r>
              <w:rPr>
                <w:rFonts w:hint="eastAsia" w:ascii="仿宋_GB2312" w:hAnsi="仿宋_GB2312" w:eastAsia="仿宋_GB2312" w:cs="仿宋_GB2312"/>
                <w:color w:val="000000"/>
                <w:sz w:val="20"/>
                <w:szCs w:val="20"/>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完成任务支出不超过预算批复金额</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全市“两组织一平台”体系更加健全，各级惠农平台为农服务功能不断提升，农民社员不断增加，合作经济组织属性不断彰显。</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全市“两组织一平台”体系更加健全，各级惠农平台为农服务功能不断提升，农民社员不断增加，合作经济组织属性不断彰显。</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体系更加健全，为农服务能力得到提升，合作经济属性得到进一步彰显。</w:t>
            </w:r>
            <w:r>
              <w:rPr>
                <w:rFonts w:hint="eastAsia" w:ascii="仿宋_GB2312" w:hAnsi="仿宋_GB2312" w:eastAsia="仿宋_GB2312" w:cs="仿宋_GB2312"/>
                <w:color w:val="000000"/>
                <w:sz w:val="20"/>
                <w:szCs w:val="20"/>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85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有利于密切联系农民群众，切实解决农村（社区）综合服务“最后一公里”问题。</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有利于密切联系农民群众，切实解决农村（社区）综合服务“最后一公里”问题。</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有利于密切联系农民群众，切实解决农村（社区）综合服务“最后一公里”问题。</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无明显环境效益</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供销合作社与农民服务到户、联结到户更加紧密，市场化运行更高效，真正成为服务农民生产生活的生力军和综合平台。</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供销合作社与农民服务到户、联结到户更加紧密，市场化运行更高效，真正成为服务农民生产生活的生力军和综合平台。</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供销合作社与农民服务到户、联结到户更加紧密，市场化运行更高效，真正成为服务农民生产生活的生力军和综合平台。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22" w:hRule="atLeast"/>
          <w:jc w:val="center"/>
        </w:trPr>
        <w:tc>
          <w:tcPr>
            <w:tcW w:w="1088"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问卷调查群众满意度</w:t>
            </w:r>
          </w:p>
        </w:tc>
        <w:tc>
          <w:tcPr>
            <w:tcW w:w="1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95%</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788"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 xml:space="preserve">填表人：      填报日期：         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7"/>
        <w:tblW w:w="9851" w:type="dxa"/>
        <w:jc w:val="center"/>
        <w:tblLayout w:type="fixed"/>
        <w:tblCellMar>
          <w:top w:w="0" w:type="dxa"/>
          <w:left w:w="108" w:type="dxa"/>
          <w:bottom w:w="0" w:type="dxa"/>
          <w:right w:w="108" w:type="dxa"/>
        </w:tblCellMar>
      </w:tblPr>
      <w:tblGrid>
        <w:gridCol w:w="1124"/>
        <w:gridCol w:w="743"/>
        <w:gridCol w:w="860"/>
        <w:gridCol w:w="1041"/>
        <w:gridCol w:w="1776"/>
        <w:gridCol w:w="1776"/>
        <w:gridCol w:w="711"/>
        <w:gridCol w:w="777"/>
        <w:gridCol w:w="1043"/>
      </w:tblGrid>
      <w:tr>
        <w:tblPrEx>
          <w:tblCellMar>
            <w:top w:w="0" w:type="dxa"/>
            <w:left w:w="108" w:type="dxa"/>
            <w:bottom w:w="0" w:type="dxa"/>
            <w:right w:w="108" w:type="dxa"/>
          </w:tblCellMar>
        </w:tblPrEx>
        <w:trPr>
          <w:trHeight w:val="743"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2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color w:val="auto"/>
                <w:spacing w:val="-17"/>
                <w:sz w:val="24"/>
                <w:szCs w:val="24"/>
                <w:u w:val="single"/>
              </w:rPr>
              <w:t>岳阳市</w:t>
            </w:r>
            <w:r>
              <w:rPr>
                <w:rFonts w:hint="eastAsia" w:ascii="仿宋_GB2312" w:hAnsi="仿宋_GB2312" w:eastAsia="仿宋_GB2312" w:cs="仿宋_GB2312"/>
                <w:b w:val="0"/>
                <w:bCs w:val="0"/>
                <w:color w:val="auto"/>
                <w:spacing w:val="-17"/>
                <w:sz w:val="24"/>
                <w:szCs w:val="24"/>
                <w:u w:val="single"/>
                <w:lang w:val="en-US" w:eastAsia="zh-CN"/>
              </w:rPr>
              <w:t>2021-2022</w:t>
            </w:r>
            <w:r>
              <w:rPr>
                <w:rFonts w:hint="eastAsia" w:ascii="仿宋_GB2312" w:hAnsi="仿宋_GB2312" w:eastAsia="仿宋_GB2312" w:cs="仿宋_GB2312"/>
                <w:color w:val="auto"/>
                <w:spacing w:val="-17"/>
                <w:sz w:val="24"/>
                <w:szCs w:val="24"/>
                <w:u w:val="single"/>
              </w:rPr>
              <w:t>年度大化肥淡季储备补贴项目</w:t>
            </w: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837" w:hRule="atLeast"/>
          <w:jc w:val="center"/>
        </w:trPr>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color w:val="auto"/>
                <w:spacing w:val="-17"/>
                <w:sz w:val="24"/>
                <w:szCs w:val="24"/>
                <w:u w:val="none"/>
                <w:lang w:eastAsia="zh-CN"/>
              </w:rPr>
              <w:t>岳阳市供销合作联社</w:t>
            </w:r>
          </w:p>
        </w:tc>
        <w:tc>
          <w:tcPr>
            <w:tcW w:w="177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53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color w:val="auto"/>
                <w:spacing w:val="-17"/>
                <w:sz w:val="24"/>
                <w:szCs w:val="24"/>
                <w:u w:val="none"/>
                <w:lang w:eastAsia="zh-CN"/>
              </w:rPr>
              <w:t>岳阳市惠农供销农业服务有限公司</w:t>
            </w:r>
          </w:p>
        </w:tc>
      </w:tr>
      <w:tr>
        <w:tblPrEx>
          <w:tblCellMar>
            <w:top w:w="0" w:type="dxa"/>
            <w:left w:w="108" w:type="dxa"/>
            <w:bottom w:w="0" w:type="dxa"/>
            <w:right w:w="108" w:type="dxa"/>
          </w:tblCellMar>
        </w:tblPrEx>
        <w:trPr>
          <w:jc w:val="center"/>
        </w:trPr>
        <w:tc>
          <w:tcPr>
            <w:tcW w:w="112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60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12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60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auto"/>
                <w:spacing w:val="-17"/>
                <w:sz w:val="24"/>
                <w:szCs w:val="24"/>
                <w:u w:val="none"/>
                <w:lang w:val="en-US" w:eastAsia="zh-CN"/>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10</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auto"/>
                <w:spacing w:val="-17"/>
                <w:sz w:val="24"/>
                <w:szCs w:val="24"/>
                <w:u w:val="none"/>
                <w:lang w:val="en-US" w:eastAsia="zh-CN"/>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100%</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10</w:t>
            </w:r>
          </w:p>
        </w:tc>
      </w:tr>
      <w:tr>
        <w:tblPrEx>
          <w:tblCellMar>
            <w:top w:w="0" w:type="dxa"/>
            <w:left w:w="108" w:type="dxa"/>
            <w:bottom w:w="0" w:type="dxa"/>
            <w:right w:w="108" w:type="dxa"/>
          </w:tblCellMar>
        </w:tblPrEx>
        <w:trPr>
          <w:jc w:val="center"/>
        </w:trPr>
        <w:tc>
          <w:tcPr>
            <w:tcW w:w="112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60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auto"/>
                <w:spacing w:val="-17"/>
                <w:sz w:val="24"/>
                <w:szCs w:val="24"/>
                <w:u w:val="none"/>
                <w:lang w:val="en-US" w:eastAsia="zh-CN"/>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150</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10</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w:t>
            </w:r>
            <w:r>
              <w:rPr>
                <w:rFonts w:hint="eastAsia" w:ascii="仿宋_GB2312" w:hAnsi="仿宋_GB2312" w:eastAsia="仿宋_GB2312" w:cs="仿宋_GB2312"/>
                <w:b w:val="0"/>
                <w:bCs w:val="0"/>
                <w:color w:val="auto"/>
                <w:spacing w:val="-17"/>
                <w:sz w:val="24"/>
                <w:szCs w:val="24"/>
                <w:u w:val="none"/>
                <w:lang w:val="en-US" w:eastAsia="zh-CN"/>
              </w:rPr>
              <w:t>100%</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pacing w:val="-17"/>
                <w:sz w:val="24"/>
                <w:szCs w:val="24"/>
                <w:u w:val="none"/>
              </w:rPr>
            </w:pPr>
            <w:r>
              <w:rPr>
                <w:rFonts w:hint="eastAsia" w:ascii="仿宋_GB2312" w:hAnsi="仿宋_GB2312" w:eastAsia="仿宋_GB2312" w:cs="仿宋_GB2312"/>
                <w:b w:val="0"/>
                <w:bCs w:val="0"/>
                <w:color w:val="auto"/>
                <w:spacing w:val="-17"/>
                <w:sz w:val="24"/>
                <w:szCs w:val="24"/>
                <w:u w:val="none"/>
              </w:rPr>
              <w:t>　　10</w:t>
            </w:r>
          </w:p>
        </w:tc>
      </w:tr>
      <w:tr>
        <w:tblPrEx>
          <w:tblCellMar>
            <w:top w:w="0" w:type="dxa"/>
            <w:left w:w="108" w:type="dxa"/>
            <w:bottom w:w="0" w:type="dxa"/>
            <w:right w:w="108" w:type="dxa"/>
          </w:tblCellMar>
        </w:tblPrEx>
        <w:trPr>
          <w:jc w:val="center"/>
        </w:trPr>
        <w:tc>
          <w:tcPr>
            <w:tcW w:w="112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60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60" w:hRule="atLeast"/>
          <w:jc w:val="center"/>
        </w:trPr>
        <w:tc>
          <w:tcPr>
            <w:tcW w:w="112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60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12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2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574" w:hRule="atLeast"/>
          <w:jc w:val="center"/>
        </w:trPr>
        <w:tc>
          <w:tcPr>
            <w:tcW w:w="112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2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组织全市系统开展农资淡季储备，完成4万吨大化肥淡储任务，保障春耕备耕农资需求。　　</w:t>
            </w:r>
          </w:p>
        </w:tc>
        <w:tc>
          <w:tcPr>
            <w:tcW w:w="430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全市系统充分发挥农资供应主渠道作用，</w:t>
            </w:r>
            <w:r>
              <w:rPr>
                <w:rFonts w:hint="eastAsia" w:ascii="仿宋_GB2312" w:hAnsi="仿宋_GB2312" w:eastAsia="仿宋_GB2312" w:cs="仿宋_GB2312"/>
                <w:color w:val="000000"/>
                <w:sz w:val="20"/>
                <w:szCs w:val="20"/>
                <w:lang w:val="en-US" w:eastAsia="zh-CN"/>
              </w:rPr>
              <w:t>2021</w:t>
            </w:r>
            <w:r>
              <w:rPr>
                <w:rFonts w:hint="eastAsia" w:ascii="仿宋_GB2312" w:hAnsi="仿宋_GB2312" w:eastAsia="仿宋_GB2312" w:cs="仿宋_GB2312"/>
                <w:color w:val="000000"/>
                <w:sz w:val="20"/>
                <w:szCs w:val="20"/>
              </w:rPr>
              <w:t>年9月到</w:t>
            </w:r>
            <w:r>
              <w:rPr>
                <w:rFonts w:hint="eastAsia" w:ascii="仿宋_GB2312" w:hAnsi="仿宋_GB2312" w:eastAsia="仿宋_GB2312" w:cs="仿宋_GB2312"/>
                <w:color w:val="000000"/>
                <w:sz w:val="20"/>
                <w:szCs w:val="20"/>
                <w:lang w:val="en-US" w:eastAsia="zh-CN"/>
              </w:rPr>
              <w:t>2022</w:t>
            </w:r>
            <w:r>
              <w:rPr>
                <w:rFonts w:hint="eastAsia" w:ascii="仿宋_GB2312" w:hAnsi="仿宋_GB2312" w:eastAsia="仿宋_GB2312" w:cs="仿宋_GB2312"/>
                <w:color w:val="000000"/>
                <w:sz w:val="20"/>
                <w:szCs w:val="20"/>
              </w:rPr>
              <w:t>年3月淡储农资40003.58吨，及时调运储备，稳价保供，保障了春耕备耕和粮食生产安全。</w:t>
            </w:r>
          </w:p>
        </w:tc>
      </w:tr>
      <w:tr>
        <w:tblPrEx>
          <w:tblCellMar>
            <w:top w:w="0" w:type="dxa"/>
            <w:left w:w="108" w:type="dxa"/>
            <w:bottom w:w="0" w:type="dxa"/>
            <w:right w:w="108" w:type="dxa"/>
          </w:tblCellMar>
        </w:tblPrEx>
        <w:trPr>
          <w:jc w:val="center"/>
        </w:trPr>
        <w:tc>
          <w:tcPr>
            <w:tcW w:w="112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8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737"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86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sz w:val="22"/>
              </w:rPr>
              <w:t>单元肥</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14700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14710.18</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67"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sz w:val="24"/>
                <w:szCs w:val="24"/>
              </w:rPr>
              <w:t>复合肥（含量40%及以上）</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17000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16958.4</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15</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06"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有机无机肥</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8300</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8335</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10</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10</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40"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质量合格</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rPr>
              <w:t>淡储产品</w:t>
            </w:r>
            <w:bookmarkStart w:id="0" w:name="_GoBack"/>
            <w:bookmarkEnd w:id="0"/>
            <w:r>
              <w:rPr>
                <w:rFonts w:hint="eastAsia" w:ascii="仿宋_GB2312" w:hAnsi="仿宋_GB2312" w:eastAsia="仿宋_GB2312" w:cs="仿宋_GB2312"/>
                <w:kern w:val="0"/>
                <w:sz w:val="24"/>
                <w:szCs w:val="24"/>
              </w:rPr>
              <w:t>符合国家标准，质量合格</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检验合格</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4"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淡储期限</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2021.9-2022.3</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2021.9-2022.3</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30"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成本控制</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sz w:val="24"/>
                <w:szCs w:val="24"/>
              </w:rPr>
              <w:t>成本控制在10%以内</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按绩效目标控制</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5</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690"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eastAsia="zh-CN"/>
              </w:rPr>
              <w:t>节约农业生产成本</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eastAsia="仿宋_GB2312"/>
                <w:bCs/>
                <w:sz w:val="22"/>
              </w:rPr>
              <w:t>为农节约成本10-20元/亩</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eastAsia="仿宋_GB2312"/>
                <w:bCs/>
                <w:sz w:val="22"/>
              </w:rPr>
              <w:t>为农节约成本10-20元/亩</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8</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197"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eastAsia="zh-CN"/>
              </w:rPr>
              <w:t>稳价保供</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eastAsia="仿宋_GB2312"/>
                <w:bCs/>
                <w:sz w:val="22"/>
              </w:rPr>
              <w:t>确保农资市场秩序及价格稳定，平抑物价200-500元/吨</w:t>
            </w:r>
            <w:r>
              <w:rPr>
                <w:rFonts w:hint="eastAsia" w:eastAsia="仿宋_GB2312"/>
                <w:bCs/>
                <w:sz w:val="22"/>
                <w:lang w:eastAsia="zh-CN"/>
              </w:rPr>
              <w:t>，确保春耕备耕用肥需求</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r>
              <w:rPr>
                <w:rFonts w:hint="eastAsia" w:eastAsia="仿宋_GB2312"/>
                <w:bCs/>
                <w:sz w:val="22"/>
              </w:rPr>
              <w:t>确保农资市场秩序及价格稳定，平抑物价200-500元/吨</w:t>
            </w:r>
            <w:r>
              <w:rPr>
                <w:rFonts w:hint="eastAsia" w:eastAsia="仿宋_GB2312"/>
                <w:bCs/>
                <w:sz w:val="22"/>
                <w:lang w:eastAsia="zh-CN"/>
              </w:rPr>
              <w:t>，及时调运储备，有效保障春耕生产</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10</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904"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化肥减量增效</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sz w:val="24"/>
                <w:szCs w:val="24"/>
              </w:rPr>
              <w:t>减少化肥施用，增加有机肥的用量</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sz w:val="24"/>
                <w:szCs w:val="24"/>
              </w:rPr>
              <w:t>减少化肥施用2%，增加有机肥施用</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6</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40"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eastAsia="仿宋_GB2312"/>
                <w:kern w:val="0"/>
                <w:sz w:val="24"/>
                <w:szCs w:val="24"/>
                <w:lang w:eastAsia="zh-CN"/>
              </w:rPr>
            </w:pPr>
            <w:r>
              <w:rPr>
                <w:rFonts w:hint="eastAsia" w:eastAsia="仿宋_GB2312"/>
                <w:kern w:val="0"/>
                <w:sz w:val="24"/>
                <w:szCs w:val="24"/>
              </w:rPr>
              <w:t>维护市场秩序</w:t>
            </w:r>
            <w:r>
              <w:rPr>
                <w:rFonts w:hint="eastAsia" w:eastAsia="仿宋_GB2312"/>
                <w:kern w:val="0"/>
                <w:sz w:val="24"/>
                <w:szCs w:val="24"/>
                <w:lang w:eastAsia="zh-CN"/>
              </w:rPr>
              <w:t>，保障粮食安全</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eastAsia="zh-CN"/>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eastAsia="仿宋_GB2312"/>
                <w:kern w:val="0"/>
                <w:sz w:val="24"/>
                <w:szCs w:val="24"/>
              </w:rPr>
              <w:t>打击假冒伪劣农资、平抑农资价格、改良土壤结构，提高农产品品质，增产增收，</w:t>
            </w:r>
            <w:r>
              <w:rPr>
                <w:rFonts w:hint="eastAsia" w:eastAsia="仿宋_GB2312"/>
                <w:kern w:val="0"/>
                <w:sz w:val="24"/>
                <w:szCs w:val="24"/>
                <w:lang w:eastAsia="zh-CN"/>
              </w:rPr>
              <w:t>保障</w:t>
            </w:r>
            <w:r>
              <w:rPr>
                <w:rFonts w:hint="eastAsia" w:eastAsia="仿宋_GB2312"/>
                <w:kern w:val="0"/>
                <w:sz w:val="24"/>
                <w:szCs w:val="24"/>
              </w:rPr>
              <w:t>粮食</w:t>
            </w:r>
            <w:r>
              <w:rPr>
                <w:rFonts w:hint="eastAsia" w:eastAsia="仿宋_GB2312"/>
                <w:kern w:val="0"/>
                <w:sz w:val="24"/>
                <w:szCs w:val="24"/>
                <w:lang w:eastAsia="zh-CN"/>
              </w:rPr>
              <w:t>生产</w:t>
            </w:r>
            <w:r>
              <w:rPr>
                <w:rFonts w:hint="eastAsia" w:eastAsia="仿宋_GB2312"/>
                <w:kern w:val="0"/>
                <w:sz w:val="24"/>
                <w:szCs w:val="24"/>
              </w:rPr>
              <w:t>安全。</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rPr>
            </w:pPr>
            <w:r>
              <w:rPr>
                <w:rFonts w:hint="eastAsia" w:eastAsia="仿宋_GB2312"/>
                <w:kern w:val="0"/>
                <w:sz w:val="24"/>
                <w:szCs w:val="24"/>
              </w:rPr>
              <w:t>打击假冒伪劣农资、平抑农资价格、改良土壤结构，提高农产品品质，增产增收，</w:t>
            </w:r>
            <w:r>
              <w:rPr>
                <w:rFonts w:hint="eastAsia" w:eastAsia="仿宋_GB2312"/>
                <w:kern w:val="0"/>
                <w:sz w:val="24"/>
                <w:szCs w:val="24"/>
                <w:lang w:eastAsia="zh-CN"/>
              </w:rPr>
              <w:t>保障</w:t>
            </w:r>
            <w:r>
              <w:rPr>
                <w:rFonts w:hint="eastAsia" w:eastAsia="仿宋_GB2312"/>
                <w:kern w:val="0"/>
                <w:sz w:val="24"/>
                <w:szCs w:val="24"/>
              </w:rPr>
              <w:t>粮食</w:t>
            </w:r>
            <w:r>
              <w:rPr>
                <w:rFonts w:hint="eastAsia" w:eastAsia="仿宋_GB2312"/>
                <w:kern w:val="0"/>
                <w:sz w:val="24"/>
                <w:szCs w:val="24"/>
                <w:lang w:eastAsia="zh-CN"/>
              </w:rPr>
              <w:t>生产</w:t>
            </w:r>
            <w:r>
              <w:rPr>
                <w:rFonts w:hint="eastAsia" w:eastAsia="仿宋_GB2312"/>
                <w:kern w:val="0"/>
                <w:sz w:val="24"/>
                <w:szCs w:val="24"/>
              </w:rPr>
              <w:t>安全。</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6</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50" w:hRule="atLeast"/>
          <w:jc w:val="center"/>
        </w:trPr>
        <w:tc>
          <w:tcPr>
            <w:tcW w:w="11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4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86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100%</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100%</w:t>
            </w:r>
          </w:p>
        </w:tc>
        <w:tc>
          <w:tcPr>
            <w:tcW w:w="7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10</w:t>
            </w:r>
          </w:p>
        </w:tc>
        <w:tc>
          <w:tcPr>
            <w:tcW w:w="7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rPr>
              <w:t>10</w:t>
            </w:r>
            <w:r>
              <w:rPr>
                <w:rFonts w:hint="eastAsia" w:ascii="仿宋_GB2312" w:hAnsi="仿宋_GB2312" w:eastAsia="仿宋_GB2312" w:cs="仿宋_GB2312"/>
                <w:color w:val="000000"/>
                <w:sz w:val="20"/>
                <w:szCs w:val="20"/>
              </w:rPr>
              <w:t>　</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7" w:hRule="atLeast"/>
          <w:jc w:val="center"/>
        </w:trPr>
        <w:tc>
          <w:tcPr>
            <w:tcW w:w="732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keepNext w:val="0"/>
        <w:keepLines w:val="0"/>
        <w:pageBreakBefore w:val="0"/>
        <w:widowControl w:val="0"/>
        <w:kinsoku/>
        <w:wordWrap/>
        <w:overflowPunct/>
        <w:topLinePunct w:val="0"/>
        <w:autoSpaceDE/>
        <w:autoSpaceDN/>
        <w:bidi w:val="0"/>
        <w:adjustRightInd/>
        <w:snapToGrid/>
        <w:spacing w:line="20" w:lineRule="exact"/>
        <w:textAlignment w:val="auto"/>
      </w:pPr>
      <w:r>
        <w:rPr>
          <w:rFonts w:hint="default" w:ascii="Times New Roman" w:hAnsi="Times New Roman" w:eastAsia="仿宋_GB2312" w:cs="Times New Roman"/>
          <w:sz w:val="22"/>
          <w:szCs w:val="22"/>
        </w:rPr>
        <w:br w:type="page"/>
      </w:r>
    </w:p>
    <w:sectPr>
      <w:footerReference r:id="rId3" w:type="default"/>
      <w:pgSz w:w="11906" w:h="16838"/>
      <w:pgMar w:top="1587" w:right="1587" w:bottom="1587" w:left="1587" w:header="851" w:footer="992" w:gutter="0"/>
      <w:paperSrc/>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E57AF"/>
    <w:multiLevelType w:val="singleLevel"/>
    <w:tmpl w:val="C19E57AF"/>
    <w:lvl w:ilvl="0" w:tentative="0">
      <w:start w:val="2"/>
      <w:numFmt w:val="chineseCounting"/>
      <w:suff w:val="nothing"/>
      <w:lvlText w:val="（%1）"/>
      <w:lvlJc w:val="left"/>
      <w:rPr>
        <w:rFonts w:hint="eastAsia" w:ascii="楷体" w:hAnsi="楷体" w:eastAsia="楷体" w:cs="楷体"/>
        <w:sz w:val="32"/>
        <w:szCs w:val="32"/>
      </w:rPr>
    </w:lvl>
  </w:abstractNum>
  <w:abstractNum w:abstractNumId="1">
    <w:nsid w:val="DA81C459"/>
    <w:multiLevelType w:val="singleLevel"/>
    <w:tmpl w:val="DA81C459"/>
    <w:lvl w:ilvl="0" w:tentative="0">
      <w:start w:val="2"/>
      <w:numFmt w:val="chineseCounting"/>
      <w:suff w:val="nothing"/>
      <w:lvlText w:val="（%1）"/>
      <w:lvlJc w:val="left"/>
      <w:rPr>
        <w:rFonts w:hint="eastAsia" w:ascii="楷体" w:hAnsi="楷体" w:eastAsia="楷体" w:cs="楷体"/>
        <w:sz w:val="32"/>
        <w:szCs w:val="32"/>
      </w:rPr>
    </w:lvl>
  </w:abstractNum>
  <w:abstractNum w:abstractNumId="2">
    <w:nsid w:val="1113A4A2"/>
    <w:multiLevelType w:val="singleLevel"/>
    <w:tmpl w:val="1113A4A2"/>
    <w:lvl w:ilvl="0" w:tentative="0">
      <w:start w:val="1"/>
      <w:numFmt w:val="chineseCounting"/>
      <w:suff w:val="nothing"/>
      <w:lvlText w:val="（%1）"/>
      <w:lvlJc w:val="left"/>
      <w:rPr>
        <w:rFonts w:hint="eastAsia"/>
      </w:rPr>
    </w:lvl>
  </w:abstractNum>
  <w:abstractNum w:abstractNumId="3">
    <w:nsid w:val="169225C5"/>
    <w:multiLevelType w:val="singleLevel"/>
    <w:tmpl w:val="169225C5"/>
    <w:lvl w:ilvl="0" w:tentative="0">
      <w:start w:val="1"/>
      <w:numFmt w:val="chineseCounting"/>
      <w:suff w:val="nothing"/>
      <w:lvlText w:val="%1、"/>
      <w:lvlJc w:val="left"/>
      <w:rPr>
        <w:rFonts w:hint="eastAsia"/>
      </w:rPr>
    </w:lvl>
  </w:abstractNum>
  <w:abstractNum w:abstractNumId="4">
    <w:nsid w:val="2C930329"/>
    <w:multiLevelType w:val="singleLevel"/>
    <w:tmpl w:val="2C930329"/>
    <w:lvl w:ilvl="0" w:tentative="0">
      <w:start w:val="6"/>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CFF8E41"/>
    <w:rsid w:val="02D13AA8"/>
    <w:rsid w:val="03294063"/>
    <w:rsid w:val="03C84377"/>
    <w:rsid w:val="0438102A"/>
    <w:rsid w:val="056D2DB8"/>
    <w:rsid w:val="06494230"/>
    <w:rsid w:val="0C0F0642"/>
    <w:rsid w:val="0C233266"/>
    <w:rsid w:val="15732C83"/>
    <w:rsid w:val="17F7788B"/>
    <w:rsid w:val="196811FE"/>
    <w:rsid w:val="1A893CD4"/>
    <w:rsid w:val="1C9B12FC"/>
    <w:rsid w:val="21316710"/>
    <w:rsid w:val="21EB477C"/>
    <w:rsid w:val="23CB49F0"/>
    <w:rsid w:val="23D50F73"/>
    <w:rsid w:val="24304BEB"/>
    <w:rsid w:val="27744E56"/>
    <w:rsid w:val="2A3349C9"/>
    <w:rsid w:val="2A6227AB"/>
    <w:rsid w:val="2B1144D8"/>
    <w:rsid w:val="2C4B14B4"/>
    <w:rsid w:val="2EB80FBF"/>
    <w:rsid w:val="2FBA6B54"/>
    <w:rsid w:val="324D4F40"/>
    <w:rsid w:val="32DF2A6C"/>
    <w:rsid w:val="36502E7E"/>
    <w:rsid w:val="377C4829"/>
    <w:rsid w:val="37FC7C58"/>
    <w:rsid w:val="3AAA11F8"/>
    <w:rsid w:val="3ABF0799"/>
    <w:rsid w:val="3E69364E"/>
    <w:rsid w:val="3F5F4FF7"/>
    <w:rsid w:val="425D6AEE"/>
    <w:rsid w:val="447E0A37"/>
    <w:rsid w:val="4B1936C2"/>
    <w:rsid w:val="4D426A4E"/>
    <w:rsid w:val="4DB06FC1"/>
    <w:rsid w:val="4F916E36"/>
    <w:rsid w:val="4FF26337"/>
    <w:rsid w:val="59590A7F"/>
    <w:rsid w:val="5AF0176D"/>
    <w:rsid w:val="5B871183"/>
    <w:rsid w:val="5FDF9D25"/>
    <w:rsid w:val="612C2AD6"/>
    <w:rsid w:val="6AF827CC"/>
    <w:rsid w:val="6B733555"/>
    <w:rsid w:val="6F7540DD"/>
    <w:rsid w:val="70F75349"/>
    <w:rsid w:val="723C04C7"/>
    <w:rsid w:val="725F3101"/>
    <w:rsid w:val="75E24D83"/>
    <w:rsid w:val="764429D0"/>
    <w:rsid w:val="7652064A"/>
    <w:rsid w:val="77226D00"/>
    <w:rsid w:val="78AE7934"/>
    <w:rsid w:val="7DDF84BA"/>
    <w:rsid w:val="7EA429DF"/>
    <w:rsid w:val="7EF94E77"/>
    <w:rsid w:val="7F726DF2"/>
    <w:rsid w:val="7F9B7D6E"/>
    <w:rsid w:val="7FF65C39"/>
    <w:rsid w:val="B57639E9"/>
    <w:rsid w:val="B7DFD28A"/>
    <w:rsid w:val="CCFF8E41"/>
    <w:rsid w:val="F7FB0F6A"/>
    <w:rsid w:val="FB0FB09A"/>
    <w:rsid w:val="FB7F7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99"/>
    <w:pPr>
      <w:spacing w:before="120" w:after="200" w:line="276" w:lineRule="auto"/>
    </w:pPr>
    <w:rPr>
      <w:rFonts w:ascii="Arial" w:hAnsi="Arial"/>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2023-05-13T09:09:00Z</dcterms:created>
  <dc:creator>yyadmin</dc:creator>
  <cp:lastModifiedBy>三叶草</cp:lastModifiedBy>
  <cp:lastPrinted>2023-07-07T03:46:31Z</cp:lastPrinted>
  <dcterms:modified xsi:type="dcterms:W3CDTF">2024-07-08T02:22:33Z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B4E3175DC72C4108A0AE58FD17A7E573</vt:lpwstr>
  </property>
</Properties>
</file>